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EL</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ΠΑΡΑΡΤΗΜΑ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«ΠΑΡΑΡΤΗΜΑ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ΜΕΡΟΣ II: ΟΔΗΓΙΕΣ ΣΧΕΤΙΚΑ ΜΕ ΤΑ ΥΠΟΔΕΙΓΜΑΤΑ</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Πιστωτικός κίνδυνος αντισυμβαλλομένου</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Πεδίο εφαρμογής των υποδειγμάτων πιστωτικού κινδύνου αντισυμβαλλομένου</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119</w:t>
      </w:r>
      <w:r>
        <w:fldChar w:fldCharType="end"/>
      </w:r>
      <w:r>
        <w:t>. Τα υποδείγματα πιστωτικού κινδύνου αντισυμβαλλομένου καλύπτουν πληροφορίες σχετικά με ανοίγματα που υπόκεινται σε πιστωτικό κίνδυνο αντισυμβαλλομένου κατ’ εφαρμογή του τρίτου μέρους τίτλος II κεφάλαια 4 και 6 του κανονισμού (ΕΕ) αριθ. 575/2013.</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120</w:t>
      </w:r>
      <w:r>
        <w:fldChar w:fldCharType="end"/>
      </w:r>
      <w:r>
        <w:t xml:space="preserve">. Τα υποδείγματα εξαιρούν τις απαιτήσεις ιδίων κεφαλαίων για τον κίνδυνο προσαρμογής πιστωτικής αποτίμησης [άρθρο 92 παράγραφος 3 στοιχείο δ) και τρίτο μέρος τίτλος VI του κανονισμού (ΕΕ) αριθ. 575/2013], οι οποίες αναφέρονται στο υπόδειγμα κινδύνου CVA.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121</w:t>
      </w:r>
      <w:r>
        <w:fldChar w:fldCharType="end"/>
      </w:r>
      <w:r>
        <w:t>. Τα ανοίγματα πιστωτικού κινδύνου αντισυμβαλλομένου έναντι κεντρικών αντισυμβαλλομένων [τρίτο μέρος τίτλος II κεφάλαιο 4 και κεφάλαιο 6 τμήμα 9 του κανονισμού (ΕΕ) αριθ. 575/2013] θα πρέπει να περιλαμβάνονται στα αριθμητικά στοιχεία για τον CCR, εκτός εάν ορίζεται διαφορετικά. Ωστόσο, οι συνεισφορές στο κεφάλαιο εκκαθάρισης που υπολογίζονται σύμφωνα με τα άρθρα 307 έως 310 του κανονισμού (ΕΕ) αριθ. 575/2013 δεν αναφέρονται στα υποδείγματα πιστωτικού κινδύνου αντισυμβαλλομένου, με εξαίρεση το υπόδειγμα C 34.10, συγκεκριμένα τις αντίστοιχες γραμμές. Γενικά, τα σταθμισμένα ως προς τον κίνδυνο ποσά ανοίγματος των συνεισφορών στο κεφάλαιο εκκαθάρισης αναφέρονται απευθείας στο υπόδειγμα C 02.00 γραμμή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Όγκος των δραστηριοτήτων σε παράγωγα</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Γενικές παρατηρήσεις</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122</w:t>
      </w:r>
      <w:r>
        <w:fldChar w:fldCharType="end"/>
      </w:r>
      <w:r>
        <w:t xml:space="preserve">. Σύμφωνα με το άρθρο 273α του κανονισμού (ΕΕ) αριθ. 575/2013, ένα ίδρυμα μπορεί να υπολογίζει την αξία ανοίγματος των θέσεων παραγώγων του σύμφωνα με τη μέθοδο που προβλέπεται στο τρίτο μέρος τίτλος II κεφάλαιο 6 τμήμα 4 ή 5 του κανονισμού (ΕΕ) αριθ. 575/2013, υπό την προϋπόθεση ότι ο όγκος των εντός και </w:t>
      </w:r>
      <w:r>
        <w:lastRenderedPageBreak/>
        <w:t>εκτός ισολογισμού δραστηριοτήτων του σε παράγωγα είναι ίσος ή μικρότερος από τα προκαθορισμένα κατώτατα όρια, αντίστοιχα. Η αντίστοιχη εκτίμηση διεξάγεται σε μηνιαία βάση, με χρήση των δεδομένων της τελευταίας ημέρας του μήνα. Το υπόδειγμα αυτό παρέχει πληροφορίες σχετικά με τη συμμόρφωση με τα εν λόγω κατώτατα όρια και, γενικότερα, σημαντικές πληροφορίες σχετικά με τον όγκο των δραστηριοτήτων σε παράγωγα.</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123</w:t>
      </w:r>
      <w:r>
        <w:fldChar w:fldCharType="end"/>
      </w:r>
      <w:r>
        <w:t>. Ο Μήνας 1, ο Μήνας 2 και ο Μήνας 3 αναφέρονται στον πρώτο, στον δεύτερο και στον τρίτο μήνα, αντίστοιχα, του τριμήνου για το οποίο υποβάλλεται η αναφορά. Οι πληροφορίες αναφέρονται μόνο για τα τέλη μήνα που έπονται της 28ης Ιουνίου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Οδηγίες για συγκεκριμένες θέσεις</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Στήλες</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ΘΕΤΙΚΕΣ ΘΕΣΕΙΣ ΠΑΡΑΓΩΓΩΝ</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273α παράγραφος 3 του κανονισμού (ΕΕ) αριθ.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Αναφέρεται το άθροισμα της απόλυτης αγοραίας αξίας των θετικών θέσεων παραγώγων κατά την τελευταία ημέρα του μήνα.</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ΑΡΝΗΤΙΚΕΣ ΘΕΣΕΙΣ ΠΑΡΑΓΩΓΩΝ</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273α παράγραφος 3 του κανονισμού (ΕΕ) αριθ.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Αναφέρεται το άθροισμα της απόλυτης αγοραίας αξίας των αρνητικών θέσεων παραγώγων κατά την τελευταία ημέρα του μήνα.</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ΣΥΝΟΛΟ</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3 στοιχείο β) </w:t>
            </w:r>
            <w:r>
              <w:rPr>
                <w:rFonts w:ascii="Times New Roman" w:hAnsi="Times New Roman"/>
                <w:sz w:val="24"/>
              </w:rPr>
              <w:t>του κανονισμού (ΕΕ) αριθ.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Το άθροισμα της απόλυτης αξίας των θετικών θέσεων παραγώγων και της απόλυτης τιμής των αρνητικών θέσεων παραγώγων.</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Γραμμές</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Όγκος των δραστηριοτήτων σε παράγωγα</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Άρθρο 273α παράγραφος 3 </w:t>
            </w:r>
            <w:r>
              <w:rPr>
                <w:rFonts w:ascii="Times New Roman" w:hAnsi="Times New Roman"/>
                <w:sz w:val="24"/>
              </w:rPr>
              <w:t>του κανονισμού (ΕΕ) αριθ.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Συμπεριλαμβάνονται όλα τα παράγωγα εντός και εκτός ισολογισμού, εκτός από τα πιστωτικά παράγωγα που αναγνωρίζονται ως εσωτερικές αντισταθμίσεις κινδύνου έναντι των ανοιγμάτων σε πιστωτικό κίνδυνο εκτός χαρτοφυλακίου συναλλαγών.</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Παράγωγα εντός και εκτός ισολογισμού</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3 στοιχεία α) και β) </w:t>
            </w:r>
            <w:r>
              <w:rPr>
                <w:rFonts w:ascii="Times New Roman" w:hAnsi="Times New Roman"/>
                <w:sz w:val="24"/>
              </w:rPr>
              <w:t>του κανονισμού (ΕΕ) αριθ.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Αναφέρεται η συνολική αγοραία αξία των θέσεων παραγώγων εντός και εκτός ισολογισμού την τελευταία ημέρα του μήνα.</w:t>
            </w:r>
            <w:r>
              <w:rPr>
                <w:rFonts w:ascii="Times New Roman" w:hAnsi="Times New Roman"/>
                <w:sz w:val="24"/>
              </w:rPr>
              <w:t xml:space="preserve"> Σε περίπτωση που η αγοραία αξία μιας θέσης δεν είναι διαθέσιμη για τη συγκεκριμένη ημερομηνία, τα ιδρύματα λαμβάνουν υπόψη μια εύλογη αξία της θέσης κατά την ημερομηνία αυτή· σε περίπτωση που η αγοραία αξία και η εύλογη αξία μιας θέσης δεν είναι διαθέσιμες για τη συγκεκριμένη ημερομηνία, τα ιδρύματα λαμβάνουν υπόψη την πλέον πρόσφατη από την αγοραία αξία ή την εύλογη αξία για τη συγκεκριμένη θέση.</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Πιστωτικά παράγωγα που αναγνωρίζονται ως εσωτερικές αντισταθμίσεις κινδύνου έναντι των ανοιγμάτων σε πιστωτικό κίνδυνο εκτός χαρτοφυλακίου συναλλαγών</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3 στοιχείο γ) </w:t>
            </w:r>
            <w:r>
              <w:rPr>
                <w:rFonts w:ascii="Times New Roman" w:hAnsi="Times New Roman"/>
                <w:sz w:val="24"/>
              </w:rPr>
              <w:t>του κανονισμού (ΕΕ) αριθ.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Η συνολική αγοραία αξία των πιστωτικών παραγώγων που αναγνωρίζονται ως εσωτερικές αντισταθμίσεις κινδύνου έναντι των ανοιγμάτων σε πιστωτικό κίνδυνο εκτός χαρτοφυλακίου συναλλαγών.</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ενεργητικού</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σύνολο ενεργητικού σύμφωνα με τα ισχύοντα λογιστικά πρότυπα.</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Σε περίπτωση υποβολής αναφορών σε ενοποιημένη βάση, το ίδρυμα αναφέρει το σύνολο ενεργητικού με βάση το πεδίο εφαρμογής της εποπτικής ενοποίησης, σύμφωνα με το πρώτο μέρος τίτλος II κεφάλαιο 2 τμήμα 2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Ποσοστό επί του συνόλου ενεργητικού</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Ο δείκτης υπολογίζεται ως ο λόγος του όγκου των δραστηριοτήτων σε παράγωγα (γραμμή 0010) προς το σύνολο ενεργητικού (γραμμή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 xml:space="preserve">ΠΑΡΕΚΚΛΙΣΗ ΣΥΜΦΩΝΑ ΜΕ ΤΟ ΑΡΘΡΟ 273α ΠΑΡΑΓΡΑΦΟΣ 4 </w:t>
            </w:r>
            <w:r>
              <w:rPr>
                <w:rFonts w:ascii="Times New Roman" w:hAnsi="Times New Roman"/>
                <w:b/>
                <w:sz w:val="24"/>
                <w:u w:val="single"/>
              </w:rPr>
              <w:t>ΤΟΥ ΚΑΝΟΝΙΣΜΟΥ (ΕΕ) ΑΡΙΘ.</w:t>
            </w:r>
            <w:r>
              <w:rPr>
                <w:rFonts w:ascii="Times New Roman" w:hAnsi="Times New Roman"/>
                <w:b/>
                <w:sz w:val="24"/>
              </w:rPr>
              <w:t>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Πληρούνται οι προϋποθέσεις του άρθρου 273α παράγραφος 4 </w:t>
            </w:r>
            <w:r>
              <w:rPr>
                <w:rFonts w:ascii="Times New Roman" w:hAnsi="Times New Roman"/>
                <w:sz w:val="24"/>
              </w:rPr>
              <w:t>του κανονισμού (ΕΕ) αριθ. 575/2013,</w:t>
            </w:r>
            <w:r>
              <w:rPr>
                <w:rStyle w:val="InstructionsTabelleberschrift"/>
                <w:rFonts w:ascii="Times New Roman" w:hAnsi="Times New Roman"/>
                <w:sz w:val="24"/>
              </w:rPr>
              <w:t xml:space="preserve"> συμπεριλαμβανομένης της έγκρισης από την αρμόδια αρχή;</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273α παράγραφος 4 </w:t>
            </w:r>
            <w:r>
              <w:rPr>
                <w:rFonts w:ascii="Times New Roman" w:hAnsi="Times New Roman"/>
                <w:sz w:val="24"/>
              </w:rPr>
              <w:t>του κανονισμού (ΕΕ) αριθ.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υπερβαίνουν τα όρια για χρήση απλουστευμένης προσέγγισης για τον πιστωτικό κίνδυνο αντισυμβαλλομένου, αλλά συνεχίζουν να χρησιμοποιούν μία από αυτές με βάση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αναφέρουν (με Ναι/Όχι) αν πληρούν όλες τις προϋποθέσεις του εν λόγω άρθρου.</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Το συγκεκριμένο στοιχείο αναφέρεται μόνον από τα ιδρύματα που εφαρμόζουν την παρέκκλιση σύμφωνα με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Μέθοδος υπολογισμού της αξίας ανοίγματος σε ενοποιημένο επίπεδο</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Άρθρο 273α παράγραφος 4 </w:t>
            </w:r>
            <w:r>
              <w:rPr>
                <w:rFonts w:ascii="Times New Roman" w:hAnsi="Times New Roman"/>
                <w:sz w:val="24"/>
              </w:rPr>
              <w:t>του κανονισμού (ΕΕ) αριθ.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μέθοδος υπολογισμού της αξίας ανοίγματος των θέσεων παραγώγων σε ενοποιημένη βάση, η οποία χρησιμοποιείται και σε ατομική βάση οντότητας σύμφωνα με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Μέθοδος αρχικού ανοίγματος</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Απλουστευμένη SA-CCR: Απλουστευμένη τυποποιημένη προσέγγιση για τον πιστωτικό κίνδυνο αντισυμβαλλομένου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Το συγκεκριμένο στοιχείο αναφέρεται μόνον από τα ιδρύματα που εφαρμόζουν την παρέκκλιση σύμφωνα με το άρθρο 273α παράγραφος 4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Ανοίγματα CCR ανά προσέγγιση</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Γενικές παρατηρήσεις</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124</w:t>
      </w:r>
      <w:r>
        <w:fldChar w:fldCharType="end"/>
      </w:r>
      <w:r>
        <w:t>. Τα ιδρύματα υποβάλλουν το υπόδειγμα χωριστά για όλα τα ανοίγματα CCR και για όλα τα ανοίγματα CCR εκτός από τα ανοίγματα έναντι κεντρικών αντισυμβαλλομένων όπως ορίζονται για τους σκοπούς του υποδείγματος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Οδηγίες για συγκεκριμένες θέσεις</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Στήλες</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ΑΝΤΙΣΥΜΒΑΛΛΟΜΕΝΩΝ</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Ο αριθμός των επιμέρους αντισυμβαλλόμενων έναντι των οποίων έχει ανοίγματα CCR το ίδρυμα.</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ΣΥΝΑΛΛΑΓΩΝ</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Ο αριθμός συναλλαγών που υπόκεινται σε πιστωτικό κίνδυνο αντισυμβαλλομένου κατά την ημερομηνία αναφοράς. Σημειώνεται ότι όσον αφορά τις δραστηριότητες κεντρικού αντισυμβαλλομένου ο αριθμός δεν θα πρέπει να αποτελείται από εισροές ή εκροές αλλά από τις συνολικές θέσεις στο χαρτοφυλάκιο CCR κατά την ημερομηνία αναφοράς. Επίσης, ένα μέσο παραγώγου ή ΣΧΤ το οποίο διαχωρίζεται σε δύο ή περισσότερα σκέλη (έστω) για χάρη του υποδείγματος συνεχίζει να θεωρείται ως μία και ενιαία συναλλαγή.</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ΟΝΟΜΑΣΤΙΚΑ ΠΟΣΑ</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ονομαστικών ποσών για παράγωγα και ΣΧΤ πριν από τυχόν συμψηφισμό και χωρίς προσαρμογές σύμφωνα με το άρθρο 279β του κανονισμού (ΕΕ) αριθ.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lastRenderedPageBreak/>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272 παράγραφος 12 του κανονισμού (ΕΕ) αριθ. 575/2013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Το άθροισμα των τρεχουσών αγοραίων αξιών (CMV) όλων των συμψηφιστικών συνόλων με θετική CMV, όπως ορίζεται στο άρθρο 272 παράγραφος 12 του κανονισμού (ΕΕ) αριθ.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272 παράγραφος 12 του κανονισμού (ΕΕ) αριθ.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Το άθροισμα των απόλυτων τρεχουσών αγοραίων αξιών (CMV) όλων των συμψηφιστικών συνόλων με αρνητική CMV, όπως ορίζεται στο άρθρο 272 παράγραφος 12 του κανονισμού (ΕΕ) αριθ.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ΠΕΡΙΘΩΡΙΟ ΔΙΑΦΟΡΑΣ ΑΠΟΤΙΜΗΣΗΣ (VM), ΛΑΜΒΑΝΟΜΕΝΟ</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275 παράγραφοι 2 και 3 και άρθρο 276 του κανονισμού (ΕΕ) αριθ.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ποσών περιθωρίου διαφοράς αποτίμησης (VM) όλων των συμφωνιών περιθωρίου για τις οποίες έχει ληφθεί VM, υπολογισμένο σύμφωνα με το άρθρο 276 του κανονισμού (ΕΕ) αριθ.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ΠΕΡΙΘΩΡΙΟ ΔΙΑΦΟΡΑΣ ΑΠΟΤΙΜΗΣΗΣ (VM), ΠΑΡΕΧΟΜΕΝΟ</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275 παράγραφοι 2 και 3 και άρθρο 276 του κανονισμού (ΕΕ) αριθ.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Το άθροισμα των ποσών περιθωρίου διαφοράς αποτίμησης (VM) όλων των συμφωνιών περιθωρίου για τις οποίες έχει παρασχεθεί VM, υπολογισμένο σύμφωνα με το άρθρο 276 του κανονισμού (ΕΕ) αριθ.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ΚΑΘΑΡΟ ΑΝΕΞΑΡΤΗΤΟ ΠΟΣΟ ΕΞΑΣΦΑΛΙΣΕΩΝ (NICA), ΛΑΜΒΑΝΟΜΕΝΟ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272 σημείο 12α), άρθρο 275 παράγραφος 3 και άρθρο 276 του κανονισμού (ΕΕ) αριθ.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καθαρών ανεξάρτητων ποσών εξασφαλίσεων (NICA) όλων των συμφωνιών περιθωρίου για τις οποίες έχει ληφθεί NICA, υπολογισμένο σύμφωνα με το άρθρο 276 του κανονισμού (ΕΕ) αριθ.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ΚΑΘΑΡΟ ΑΝΕΞΑΡΤΗΤΟ ΠΟΣΟ ΕΞΑΣΦΑΛΙΣΕΩΝ (NICA), ΠΑΡΕΧΟΜΕΝΟ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272 σημείο 12α), άρθρο 275 παράγραφος 3 και άρθρο 276 του κανονισμού (ΕΕ) αριθ.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Το άθροισμα των καθαρών ανεξάρτητων ποσών εξασφαλίσεων (NICA) όλων των συμφωνιών περιθωρίου για τις οποίες έχει παρασχεθεί NICA, υπολογισμένο σύμφωνα με το άρθρο 276 του κανονισμού (ΕΕ) αριθ.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ΚΟΣΤΟΣ ΑΝΤΙΚΑΤΑΣΤΑΣΗΣ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Άρθρα 275, 281 και 282 του κανονισμού (ΕΕ) αριθ.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lastRenderedPageBreak/>
              <w:t xml:space="preserve">Το κόστος αντικατάστασης (RC) ανά συμψηφιστικό σύνολο υπολογίζεται σύμφωνα με: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το άρθρο 282 παράγραφος 3 του κανονισμού (ΕΕ) αριθ. 575/2013 για τη μέθοδο αρχικού ανοίγματος,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το άρθρο 281 του κανονισμού (ΕΕ) αριθ. 575/2013 για την απλουστευμένη SA-CCR,</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το άρθρο 275 του κανονισμού (ΕΕ) αριθ. 575/2013 για την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Το ίδρυμα αναφέρει το άθροισμα του κόστους αντικατάστασης των συμψηφιστικών συνόλων στην αντίστοιχη γραμμή.</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lastRenderedPageBreak/>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ΕΝΔΕΧΟΜΕΝΟ ΜΕΛΛΟΝΤΙΚΟ ΑΝΟΙΓΜΑ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Άρθρα 278, 281 και 282 του κανονισμού (ΕΕ) αριθ.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Το ενδεχόμενο μελλοντικό άνοιγμα (PFE) ανά συμψηφιστικό σύνολο υπολογίζεται σύμφωνα με: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το άρθρο 282 παράγραφος 4 του κανονισμού (ΕΕ) αριθ. 575/2013 για τη μέθοδο αρχικού ανοίγματος,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το άρθρο 281 του κανονισμού (ΕΕ) αριθ. 575/2013 για την απλουστευμένη SA-CCR,</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το άρθρο 278 του κανονισμού (ΕΕ) αριθ. 575/2013 για την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Το ίδρυμα αναφέρει το άθροισμα όλων των ενδεχόμενων μελλοντικών ανοιγμάτων των συμψηφιστικών συνόλων στην αντίστοιχη γραμμή.</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ΤΡΕΧΟΝ ΑΝΟΙΓΜΑ</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Άρθρο 272 παράγραφος 17 του κανονισμού (ΕΕ) αριθ. 575/2013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Το τρέχον άνοιγμα ανά συμψηφιστικό σύνολο είναι η αξία όπως ορίζεται στο άρθρο 272 σημείο 17) του κανονισμού (ΕΕ) αριθ. 575/2013.</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Το ίδρυμα αναφέρει το άθροισμα όλων των τρεχόντων ανοιγμάτων των συμψηφιστικών συνόλων στην αντίστοιχη γραμμή.</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ΠΡΑΓΜΑΤΙΚΟ ΑΝΑΜΕΝΟΜΕΝΟ ΘΕΤΙΚΟ ΑΝΟΙΓΜΑ (EEPE)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Άρθρο 272 σημείο 22) και άρθρο 284 παράγραφοι 3 και 6 του κανονισμού (ΕΕ) αριθ.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Το πραγματικό αναμενόμενο θετικό άνοιγμα όπως ορίζεται στο άρθρο 272 σημείο 22) του κανονισμού (ΕΕ) αριθ. 575/2013 και το οποίο υπολογίζεται σύμφωνα με το άρθρο 284 παράγραφος 6 του κανονισμού (ΕΕ) αριθ. 575/2013.</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Το ίδρυμα αναφέρει το άθροισμα όλων των EEPE που εφαρμόζονται για τον προσδιορισμό των απαιτήσεων ιδίων κεφαλαίων σύμφωνα με το άρθρο 284 παράγραφος 3 του κανονισμού (ΕΕ) αριθ. 575/2013, δηλαδή είτε τα EEPE υπολογισμένα με χρήση τρεχόντων δεδομένων της αγοράς είτε τα EEPE υπολογισμένα με χρήση βαθμονόμησης ακραίων καταστάσεων, όποιο οδηγεί σε υψηλότερη απαίτηση ιδίων κεφαλαίων.</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lastRenderedPageBreak/>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ΑΛΦΑ ΠΟΥ ΧΡΗΣΙΜΟΠΟΙΕΙΤΑΙ ΓΙΑ ΤΟΝ ΥΠΟΛΟΓΙΣΜΟ ΤΗΣ ΚΑΝΟΝΙΣΤΙΚΗΣ ΑΞΙΑΣ ΑΝΟΙΓΜΑΤΟΣ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Άρθρο 274 παράγραφος 2, άρθρο 282 παράγραφος 2, άρθρο 281 παράγραφος 1, άρθρο 284 παράγραφοι 4 και 9 του κανονισμού (ΕΕ) αριθ.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Η τιμή του α είναι προκαθορισμένη σε 1,4 στις γραμμές για τις OEM, απλουστευμένη SA-CCR και SA-CCR σύμφωνα με το άρθρο 282 παράγραφος 2, το άρθρο 281 παράγραφος 1 και το άρθρο 274 παράγραφος 2 του κανονισμού (ΕΕ) αριθ. 575/2013. Για τους σκοπούς της μεθόδου εσωτερικών υποδειγμάτων (ΙΜΜ), η τιμή του α μπορεί είτε να ισούται εξ ορισμού με 1,4 είτε να διαφέρει όταν οι αρμόδιες αρχές απαιτούν υψηλότερο α σύμφωνα με το άρθρο 284 παράγραφος 4 του κανονισμού (ΕΕ) αριθ. 575/2013 ή επιτρέπουν στα ιδρύματα να χρησιμοποιήσουν τις εσωτερικές εκτιμήσεις τους σύμφωνα με το άρθρο 284 παράγραφος 9 του εν λόγω κανονισμού.</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ΑΞΙΑ ΑΝΟΙΓΜΑΤΟΣ ΠΡΙΝ ΑΠΟ ΤΗ 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πριν από τη CRM για τα συμψηφιστικά σύνολα CCR υπολογίζεται σύμφωνα με τις μεθόδους που προβλέπονται στο τρίτο μέρος τίτλος II κεφάλαια 4 και 6 του κανονισμού (ΕΕ) αριθ. 575/2013, λαμβανομένων υπόψη των αποτελεσμάτων συμψηφισμού, αλλά χωρίς να λαμβάνονται υπόψη τυχόν άλλες τεχνικές μείωσης του πιστωτικού κινδύνου (π.χ. εξασφάλιση περιθωρίου).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Στην περίπτωση των ΣΧΤ το σκέλος των τίτλων δεν λαμβάνεται υπόψη κατά τον προσδιορισμό της αξίας ανοίγματος πριν από τη CRM όταν η εξασφάλιση έχει ληφθεί και επομένως δεν μειώνει την αξία ανοίγματος. Αντιθέτως, το σκέλος των τίτλων των ΣΧΤ λαμβάνεται υπόψη κατά τον προσδιορισμό της αξίας ανοίγματος πριν από τη CRM με τον συνηθισμένο τρόπο όταν παρέχεται εξασφάλιση.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Επίσης, οι εξασφαλισμένες δραστηριότητες αντιμετωπίζονται ως μη εξασφαλισμένες, δηλαδή δεν εφαρμόζονται τα αποτελέσματα καθορισμού περιθωρίου.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Η αξία ανοίγματος πριν από τη CRM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Στην αξία ανοίγματος πριν από τη CRM δεν λαμβάνεται υπόψη η αφαίρεση της πραγματοποιηθείσας ζημίας CVA σύμφωνα με το άρθρο 273 παράγραφος 6 του κανονισμού (ΕΕ) αριθ. 575/2013.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Το ίδρυμα αναφέρει το άθροισμα όλων των αξιών ανοίγματος των συμψηφιστικών συνόλων πριν από τη CRM στην αντίστοιχη γραμμή.</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ΑΞΙΑ ΑΝΟΙΓΜΑΤΟΣ ΜΕΤΑ ΤΗ 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μετά τη CRM για τα συμψηφιστικά σύνολα CCR υπολογίζεται σύμφωνα με τις μεθόδους που προβλέπονται στο τρίτο μέρος τίτλος II κεφάλαια 4 και 6 του κανονισμού (ΕΕ) αριθ. 575/2013, μετά την εφαρμογή τεχνικών μείωσης πιστωτικού κινδύνου, όπως εφαρμόζονται </w:t>
            </w:r>
            <w:r>
              <w:rPr>
                <w:rFonts w:ascii="Times New Roman" w:hAnsi="Times New Roman"/>
                <w:sz w:val="24"/>
              </w:rPr>
              <w:lastRenderedPageBreak/>
              <w:t>σύμφωνα με το τρίτο μέρος τίτλος II κεφάλαια 4 και 6 του εν λόγω κανονισμού.</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Η αξία ανοίγματος μετά τη CRM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Στην αξία ανοίγματος μετά τη CRM δεν λαμβάνεται υπόψη η αφαίρεση της πραγματοποιηθείσας ζημίας CVA σύμφωνα με το άρθρο 273 παράγραφος 6 του κανονισμού (ΕΕ) αριθ.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Το ίδρυμα αναφέρει το άθροισμα όλων των αξιών ανοίγματος των συμψηφιστικών συνόλων μετά τη CRM στην αντίστοιχη γραμμή.</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lastRenderedPageBreak/>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ΑΞΙΑ ΑΝΟΙΓΜΑΤΟΣ</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για τα συμψηφιστικά σύνολα CCR που υπολογίζεται σύμφωνα με τις μεθόδους που προβλέπονται στο τρίτο μέρος τίτλος II κεφάλαια 4 και 6 του κανονισμού (ΕΕ) αριθ. 575/2013, και η οποία αποτελεί το σχετικό ποσό για τον υπολογισμό των σταθμισμένων ως προς τον κίνδυνο ποσών ανοιγμάτων, δηλαδή μετά την εφαρμογή των τεχνικών μείωσης του πιστωτικού κινδύνου όπως ισχύουν σύμφωνα με το τρίτο μέρος τίτλος II κεφάλαια 4 και 6 του κανονισμού (ΕΕ) αριθ. 575/2013 και αφού έχει ληφθεί υπόψη η αφαίρεση της πραγματοποιηθείσας ζημίας CVA σύμφωνα με το άρθρο 273 παράγραφος 6 του κανονισμού (ΕΕ) αριθ. 575/2013. </w:t>
            </w:r>
          </w:p>
          <w:p w14:paraId="78D55FF1" w14:textId="77777777" w:rsidR="00EF74C7" w:rsidRPr="002A677E" w:rsidRDefault="00EF74C7" w:rsidP="00822842">
            <w:pPr>
              <w:rPr>
                <w:rFonts w:ascii="Times New Roman" w:hAnsi="Times New Roman"/>
                <w:sz w:val="24"/>
              </w:rPr>
            </w:pPr>
            <w:r>
              <w:rPr>
                <w:rFonts w:ascii="Times New Roman" w:hAnsi="Times New Roman"/>
                <w:sz w:val="24"/>
              </w:rPr>
              <w:t>Η αξία ανοίγματος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Σε περιπτώσεις που χρησιμοποιούνται περισσότερες από μία προσεγγίσεις CCR για τον ίδιο αντισυμβαλλόμενο, η πραγματοποιηθείσα ζημία CVA, η οποία αφαιρείται σε επίπεδο αντισυμβαλλόμενου, κατατάσσεται στην αξία ανοίγματος των διαφορετικών συμψηφιστικών συνόλων σε κάθε προσέγγιση CCR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αντισυμβαλλόμενου.</w:t>
            </w:r>
          </w:p>
          <w:p w14:paraId="0C842EAD" w14:textId="77777777" w:rsidR="00EF74C7" w:rsidRPr="002A677E" w:rsidRDefault="00EF74C7" w:rsidP="00822842">
            <w:r>
              <w:rPr>
                <w:rFonts w:ascii="Times New Roman" w:hAnsi="Times New Roman"/>
                <w:sz w:val="24"/>
              </w:rPr>
              <w:t>Το ίδρυμα αναφέρει το άθροισμα όλων των αξιών ανοίγματος στην αντίστοιχη γραμμή.</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τυποποιημένη προσέγγιση πιστωτικού κινδύνου</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Η αξία ανοίγματος για CCR των θέσεων που αντιμετωπίζονται με την τυποποιημένη προσέγγιση πιστωτικού κινδύνου σύμφωνα με το τρίτο μέρος τίτλος II κεφάλαιο 2 του κανονισμού (ΕΕ) αριθ.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προσέγγιση IRB για τον πιστωτικό κίνδυνο</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Η αξία ανοίγματος για CCR των θέσεων που αντιμετωπίζονται με την προσέγγιση IRB για τον πιστωτικό κίνδυνο σύμφωνα με το τρίτο μέρος τίτλος II κεφάλαιο 3 του κανονισμού (ΕΕ) αριθ.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lastRenderedPageBreak/>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ΠΟΣΑ ΑΝΟΙΓΜΑΤΟΣ ΣΤΑΘΜΙΣΜΕΝΑ ΩΣ ΠΡΟΣ ΤΟΝ ΚΙΝΔΥΝΟ</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Τα σταθμισμένα ως προς τον κίνδυνο ποσά ανοίγματος για CCR όπως ορίζονται στο άρθρο 92 παράγραφος 3 του κανονισμού (ΕΕ) αριθ. 575/2013, που υπολογίζονται σύμφωνα με τις μεθόδους που προβλέπονται στο τρίτο μέρος τίτλος II κεφάλαια 2 και 3.</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κανονισμού (ΕΕ) αριθ.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τυποποιημένη προσέγγιση πιστωτικού κινδύνου</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Τα σταθμισμένα ως προς τον κίνδυνο ποσά ανοίγματος για ανοίγματα CCR που αντιμετωπίζονται με την τυποποιημένη προσέγγιση πιστωτικού κινδύνου σύμφωνα με το τρίτο μέρος τίτλος II κεφάλαιο 2 του κανονισμού (ΕΕ) αριθ. 575/2013. </w:t>
            </w:r>
          </w:p>
          <w:p w14:paraId="21C6ADFA" w14:textId="77777777" w:rsidR="00EF74C7" w:rsidRPr="002A677E" w:rsidRDefault="00EF74C7" w:rsidP="00822842">
            <w:pPr>
              <w:rPr>
                <w:rFonts w:ascii="Times New Roman" w:hAnsi="Times New Roman"/>
                <w:sz w:val="24"/>
              </w:rPr>
            </w:pPr>
            <w:r>
              <w:rPr>
                <w:rFonts w:ascii="Times New Roman" w:hAnsi="Times New Roman"/>
                <w:sz w:val="24"/>
              </w:rPr>
              <w:t>Το ποσό αντιστοιχεί στο ποσό που θα περιληφθεί στη στήλη 0220 του υποδείγματος C 07.00 για τις θέσεις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Θέσεις που αντιμετωπίζονται με την προσέγγιση IRB για τον πιστωτικό κίνδυνο</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Τα σταθμισμένα ως προς τον κίνδυνο ποσά ανοίγματος για ανοίγματα CCR που αντιμετωπίζονται με την προσέγγιση IRB για τον πιστωτικό κίνδυνο σύμφωνα με το τρίτο μέρος τίτλος II κεφάλαιο 3 του κανονισμού (ΕΕ) αριθ. 575/2013.</w:t>
            </w:r>
          </w:p>
          <w:p w14:paraId="3FB6A074" w14:textId="77777777" w:rsidR="00EF74C7" w:rsidRPr="002A677E" w:rsidRDefault="00EF74C7" w:rsidP="00822842">
            <w:pPr>
              <w:rPr>
                <w:rFonts w:ascii="Times New Roman" w:hAnsi="Times New Roman"/>
                <w:sz w:val="24"/>
              </w:rPr>
            </w:pPr>
            <w:r>
              <w:rPr>
                <w:rFonts w:ascii="Times New Roman" w:hAnsi="Times New Roman"/>
                <w:sz w:val="24"/>
              </w:rPr>
              <w:t>Το ποσό αντιστοιχεί στο ποσό που θα περιληφθεί στη στήλη 0260 του υποδείγματος C 08.01 για τις θέσεις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ΚΑΤΩΤΑΤΟ ΟΡΙΟ ΚΕΦΑΛΑΙΑΚΩΝ ΑΠΑΙΤΗΣΕΩΝ</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Για ιδρύματα που υπόκεινται στο κατώτατο όριο κεφαλαιακών απαιτήσεων σύμφωνα με το άρθρο 92 παράγραφος 3 του κανονισμού (ΕΕ) αριθ.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ΑΞΙΑ ΑΝΟΙΓΜΑΤΟΣ ΓΙΑ ΤΟΝ ΥΠΟΛΟΓΙΣΜΟ ΤΟΥ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Αξία ανοίγματος</w:t>
            </w:r>
            <w:r>
              <w:rPr>
                <w:rFonts w:ascii="Times New Roman" w:hAnsi="Times New Roman"/>
                <w:sz w:val="24"/>
              </w:rPr>
              <w:t xml:space="preserve"> των ανοιγμάτων CCR που περιλαμβάνεται στον υπολογισμό του τυποποιημένου συνολικού ποσού ανοίγματος σε κίνδυνο (S-TREA) που υπολογίζεται σύμφωνα με το άρθρο 92 παράγραφος 5</w:t>
            </w:r>
            <w:r>
              <w:rPr>
                <w:rStyle w:val="InstructionsTabelleberschrift"/>
                <w:rFonts w:ascii="Times New Roman" w:hAnsi="Times New Roman"/>
                <w:sz w:val="24"/>
              </w:rPr>
              <w:t xml:space="preserve"> </w:t>
            </w:r>
            <w:r>
              <w:rPr>
                <w:rFonts w:ascii="Times New Roman" w:hAnsi="Times New Roman"/>
                <w:sz w:val="24"/>
              </w:rPr>
              <w:t>του κανονισμού (ΕΕ) αριθ.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Τυποποιημένο συνολικό ποσό ανοίγματος σε κίνδυνο (S-TREA) των ανοιγμάτων CCR που υπολογίζεται σύμφωνα με το άρθρο 92 παράγραφος 5 του κανονισμού (ΕΕ) αριθ.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ΥΠΟΜΝΗΜΑΤΙΚΑ ΣΤΟΙΧΕΙΑ: RWEA ΠΟΥ ΣΧΕΤΙΖΟΝΤΑΙ ΜΕ ΤΟΝ ΑΝΤΙΚΤΥΠΟ ΤΗΣ ΕΦΑΡΜΟΓΗΣ ΤΟΥ ΑΡΘΡΟΥ 465 ΠΑΡΑΓΡΑΦΟΣ 4 ΤΟΥ ΚΑΝΟΝΙΣΜΟΥ (ΕΕ) ΑΡΙΘ.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 xml:space="preserve">Άρθρο 465 παράγραφος 4 του κανονισμού (ΕΕ) αριθ. 575/2013. Αναφέρεται η διαφορά μεταξύ του ποσού των RWEA χωρίς εφαρμογή των μεταβατικών </w:t>
            </w:r>
            <w:r>
              <w:rPr>
                <w:rFonts w:ascii="Times New Roman" w:hAnsi="Times New Roman"/>
                <w:sz w:val="24"/>
              </w:rPr>
              <w:lastRenderedPageBreak/>
              <w:t>διατάξεων και του ποσού των RWEA με την εφαρμογή των μεταβατικών διατάξεων.</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Γραμμή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ΜΕΘΟΔΟΣ ΑΡΧΙΚΟΥ ΑΝΟΙΓΜΑΤΟΣ (ΓΙΑ ΠΑΡΑΓΩΓΑ)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Τα παράγωγα και οι συναλλαγές με μακρά προθεσμία διακανονισμού για τα οποία το ίδρυμα υπολογίζει την αξία ανοίγματος σύμφωνα με το τρίτο μέρος τίτλος II κεφάλαιο 6 τμήμα 5 του κανονισμού (ΕΕ) αριθ. 575/2013. Αυτή η απλουστευμένη μέθοδος υπολογισμού της αξίας ανοίγματος μπορεί να χρησιμοποιηθεί μόνον από τα ιδρύματα που πληρούν τις προϋποθέσεις που προβλέπονται στο άρθρο 273α παράγραφος 2 ή στο άρθρο 273α παράγραφος 4 του κανονισμού (ΕΕ) αριθ.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ΑΠΛΟΥΣΤΕΥΜΕΝΗ ΤΥΠΟΠΟΙΗΜΕΝΗ ΠΡΟΣΕΓΓΙΣΗ ΓΙΑ CCR (ΑΠΛΟΥΣΤΕΥΜΕΝΗ SA-CCR ΓΙΑ ΠΑΡΑΓΩΓΑ)</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Τα παράγωγα και οι συναλλαγές με μακρά προθεσμία διακανονισμού για τα οποία το ίδρυμα υπολογίζει την αξία ανοίγματος σύμφωνα με το τρίτο μέρος τίτλος II κεφάλαιο 6 τμήμα 4 του κανονισμού (ΕΕ) αριθ. 575/2013. Αυτή η απλουστευμένη τυποποιημένη προσέγγιση υπολογισμού της αξίας ανοίγματος μπορεί να χρησιμοποιηθεί μόνον από τα ιδρύματα που πληρούν τις προϋποθέσεις που προβλέπονται στο άρθρο 273α παράγραφος 1 ή στο άρθρο 273α παράγραφος 4 του κανονισμού (ΕΕ) αριθ. 575/2013.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ΤΥΠΟΠΟΙΗΜΕΝΗ ΠΡΟΣΕΓΓΙΣΗ ΓΙΑ CCR (SA-CCR ΓΙΑ ΠΑΡΑΓΩΓΑ)</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Παράγωγα και συναλλαγές με μακρά προθεσμία διακανονισμού για τα οποία το ίδρυμα υπολογίζει την αξία ανοίγματος σύμφωνα με το τρίτο μέρος τίτλος II κεφάλαιο 6 τμήμα 3 του κανονισμού (ΕΕ) αριθ.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(ΓΙΑ ΠΑΡΑΓΩΓΑ ΚΑΙ ΣΧΤ)</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Παράγωγα, συναλλαγές με μακρά προθεσμία διακανονισμού και ΣΧΤ για τα οποία το ίδρυμα επιτρέπεται να υπολογίζει την αξία ανοίγματος με χρήση της μεθόδου των εσωτερικών υποδειγμάτων (ΙΜΜ) σύμφωνα με το τρίτο μέρος τίτλος II κεφάλαιο 6 τμήμα 6 του κανονισμού (ΕΕ) αριθ.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Συμψηφιστικά σύνολα συναλλαγών χρηματοδότησης τίτλων</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Συμψηφιστικά σύνολα που περιλαμβάνουν μόνο ΣΧΤ όπως ορίζονται στο άρθρο 4 σημείο 139) του κανονισμού (ΕΕ) αριθ. 575/2013 για τα οποία το ίδρυμα επιτρέπεται να προσδιορίσει την αξία ανοίγματος χρησιμοποιώντας τη μέθοδο των εσωτερικών υποδειγμάτων (IMM).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Οι ΣΧΤ που περιλαμβάνονται σε σύνολο συμβατικού συμψηφισμού μεταξύ προϊόντων και, επομένως, αναφέρονται στη γραμμή 0070 δεν αναφέρονται στη συγκεκριμένη γραμμή.</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Συμψηφιστικά σύνολα παραγώγων και πράξεων με μακρά προθεσμία διακανονισμού</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Συμψηφιστικά σύνολα που περιλαμβάνουν μόνο μέσα παραγώγων που παρατίθενται στο παράρτημα II του κανονισμού (ΕΕ) αριθ. 575/2013 και συναλλαγές με μακρά προθεσμία διακανονισμού όπως ορίζονται στο άρθρο 272 σημείο 2) του κανονισμού (ΕΕ) αριθ. 575/2013 για τις οποίες το ίδρυμα επιτρέπεται να προσδιορίσει την αξία ανοίγματος χρησιμοποιώντας τη μέθοδο των εσωτερικών υποδειγμάτων (IMM).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Τα παράγωγα και οι πράξεις με μακρά προθεσμία διακανονισμού που περιλαμβάνονται σε σύνολο συμβατικού συμψηφισμού μεταξύ προϊόντων και, επομένως, αναφέρονται στη γραμμή 0070 δεν αναφέρονται στη συγκεκριμένη γραμμή.</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Από σύνολα συμβατικού συμψηφισμού μεταξύ προϊόντων</w:t>
            </w:r>
          </w:p>
          <w:p w14:paraId="118D66FD" w14:textId="77777777" w:rsidR="00EF74C7" w:rsidRPr="002A677E" w:rsidRDefault="00EF74C7" w:rsidP="00822842">
            <w:pPr>
              <w:rPr>
                <w:rFonts w:ascii="Times New Roman" w:hAnsi="Times New Roman"/>
                <w:sz w:val="24"/>
              </w:rPr>
            </w:pPr>
            <w:r>
              <w:rPr>
                <w:rFonts w:ascii="Times New Roman" w:hAnsi="Times New Roman"/>
                <w:sz w:val="24"/>
              </w:rPr>
              <w:t>Άρθρο 272 παράγραφοι 11 και 25 του κανονισμού (ΕΕ) αριθ.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Συμψηφιστικά σύνολα που περιλαμβάνουν συναλλαγές διαφορετικών κατηγοριών προϊόντων [άρθρο 272 σημείο 11) του κανονισμού (ΕΕ) αριθ. 575/2013], δηλαδή παράγωγα και ΣΧΤ για τα οποία υπάρχει συμφωνία συμβατικού συμψηφισμού μεταξύ προϊόντων όπως ορίζεται στο άρθρο 272 σημείο 25) του κανονισμού (ΕΕ) αριθ. 575/2013 και για τα οποία το ίδρυμα επιτρέπεται να προσδιορίσει την αξία ανοίγματος χρησιμοποιώντας τη μέθοδο των εσωτερικών υποδειγμάτων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ΑΠΛΗ ΜΕΘΟΔΟΣ ΧΡΗΜΑΤΟΟΙΚΟΝΟΜΙΚΩΝ ΕΞΑΣΦΑΛΙΣΕΩΝ (ΓΙΑ ΣΧΤ) </w:t>
            </w:r>
          </w:p>
          <w:p w14:paraId="1E933FE3" w14:textId="77777777" w:rsidR="00EF74C7" w:rsidRPr="002A677E" w:rsidRDefault="00EF74C7" w:rsidP="00822842">
            <w:pPr>
              <w:rPr>
                <w:rFonts w:ascii="Times New Roman" w:hAnsi="Times New Roman"/>
                <w:sz w:val="24"/>
              </w:rPr>
            </w:pPr>
            <w:r>
              <w:rPr>
                <w:rFonts w:ascii="Times New Roman" w:hAnsi="Times New Roman"/>
                <w:sz w:val="24"/>
              </w:rPr>
              <w:t>Άρθρο 222 του κανονισμού (ΕΕ) αριθ.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Πράξεις επαναγοράς, πράξεις δανειοδοσίας ή δανειοληψίας τίτλων ή εμπορευμάτων, συναλλαγές με μακρά προθεσμία διακανονισμού και πράξεις δανεισμού περιθωρίου για τις οποίες το ίδρυμα έχει επιλέξει να προσδιορίσει την αξία ανοίγματος σύμφωνα με το άρθρο 222 του κανονισμού (ΕΕ) αριθ. 575/2013 αντί με το τρίτο μέρος τίτλος II κεφάλαιο 6 του εν λόγω κανονισμού σύμφωνα με το άρθρο 271 παράγραφος 2 του ίδιου κανονισμού.</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ΑΝΑΛΥΤΙΚΗ ΜΕΘΟΔΟΣ ΧΡΗΜΑΤΟΟΙΚΟΝΟΜΙΚΩΝ ΕΞΑΣΦΑΛΙΣΕΩΝ (ΓΙΑ ΣΧΤ)</w:t>
            </w:r>
          </w:p>
          <w:p w14:paraId="13A72AE5" w14:textId="77777777" w:rsidR="00EF74C7" w:rsidRPr="002A677E" w:rsidRDefault="00EF74C7" w:rsidP="00822842">
            <w:pPr>
              <w:rPr>
                <w:rFonts w:ascii="Times New Roman" w:hAnsi="Times New Roman"/>
                <w:sz w:val="24"/>
              </w:rPr>
            </w:pPr>
            <w:r>
              <w:rPr>
                <w:rFonts w:ascii="Times New Roman" w:hAnsi="Times New Roman"/>
                <w:sz w:val="24"/>
              </w:rPr>
              <w:t>Άρθρα 220 και 223 του κανονισμού (ΕΕ) αριθ.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Πράξεις επαναγοράς, πράξεις δανειοδοσίας ή δανειοληψίας τίτλων ή εμπορευμάτων, συναλλαγές με μακρά προθεσμία διακανονισμού και πράξεις δανεισμού περιθωρίου για τις οποίες το ίδρυμα έχει επιλέξει να προσδιορίσει την αξία ανοίγματος σύμφωνα με το άρθρο 223 του κανονισμού (ΕΕ) αριθ. 575/2013 αντί με το τρίτο μέρος τίτλος II κεφάλαιο 6 του εν λόγω κανονισμού σύμφωνα με το άρθρο 271 παράγραφος 2 του ίδιου κανονισμού.</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ΔΥΝΗΤΙΚΗ ΖΗΜΙΑ (VAR) ΓΙΑ ΣΧΤ</w:t>
            </w:r>
          </w:p>
          <w:p w14:paraId="769E33FD" w14:textId="77777777" w:rsidR="00EF74C7" w:rsidRPr="002A677E" w:rsidRDefault="00EF74C7" w:rsidP="00822842">
            <w:pPr>
              <w:rPr>
                <w:rFonts w:ascii="Times New Roman" w:hAnsi="Times New Roman"/>
                <w:sz w:val="24"/>
              </w:rPr>
            </w:pPr>
            <w:r>
              <w:rPr>
                <w:rFonts w:ascii="Times New Roman" w:hAnsi="Times New Roman"/>
                <w:sz w:val="24"/>
              </w:rPr>
              <w:t>Άρθρο 221 του κανονισμού (ΕΕ) αριθ.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lastRenderedPageBreak/>
              <w:t xml:space="preserve">Πράξεις επαναγοράς, πράξεις δανειοδοσίας ή δανειοληψίας τίτλων ή εμπορευμάτων ή πράξεις δανεισμού περιθωρίου, ή άλλες πράξεις με όρους κεφαλαιαγοράς εκτός από συναλλαγές σε παράγωγα, για τις οποίες, σύμφωνα με το άρθρο 221 του κανονισμού (ΕΕ) αριθ. 575/2013 και με την επιφύλαξη της άδειας της αρμόδιας αρχής, η αξία ανοίγματος υπολογίζεται με χρήση μιας προσέγγισης εσωτερικού υποδείγματος που λαμβάνει υπόψη τις επιπτώσεις των συσχετίσεων μεταξύ των θέσεων σε τίτλους που υπάγονται σε σύμβαση-πλαίσιο συμψηφισμού, καθώς και την εμπορευσιμότητα των σχετικών μέσων.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ΣΥΝΟΛΟ</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Θέσεις SWWR</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291</w:t>
            </w:r>
            <w:r>
              <w:rPr>
                <w:rFonts w:ascii="Times New Roman" w:hAnsi="Times New Roman"/>
                <w:sz w:val="24"/>
              </w:rPr>
              <w:t xml:space="preserve"> του κανονισμού (ΕΕ) αριθ. 575/2013</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 xml:space="preserve">Ανοίγματα CCR για τα οποία έχει προσδιοριστεί ειδικός κίνδυνος δυσμενούς συσχέτισης (SWWR) σύμφωνα με το άρθρο 291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Δραστηριότητες με καθορισμό περιθωρίου</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272 παράγραφος 7</w:t>
            </w:r>
            <w:r>
              <w:rPr>
                <w:rFonts w:ascii="Times New Roman" w:hAnsi="Times New Roman"/>
                <w:sz w:val="24"/>
              </w:rPr>
              <w:t xml:space="preserve"> του κανονισμού (ΕΕ) αριθ. 575/2013.</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 xml:space="preserve">Ανοίγματα CCR για τα οποία έχει καθοριστεί περιθώριο, δηλαδή συμψηφιστικά σύνολα που υπάγονται σε συμφωνία περιθωρίου σύμφωνα με το άρθρο 272 σημείο 7)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Δραστηριότητες χωρίς καθορισμό περιθωρίου</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Ανοίγματα CCR που δεν καλύπτονται στο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 Ανοίγματα CCR που αντιμετωπίζονται με τυποποιημένες προσεγγίσεις: SA-CCR και απλουστευμένη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Γενικές παρατηρήσεις</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125</w:t>
      </w:r>
      <w:r>
        <w:fldChar w:fldCharType="end"/>
      </w:r>
      <w:r>
        <w:t>. Το υπόδειγμα χρησιμοποιείται χωριστά για αναφορά των ανοιγμάτων CCR που υπολογίζονται με SA-CCR ή απλουστευμένη SA-CCR, κατά περίπτωση.</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Οδηγίες για συγκεκριμένες θέσεις</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Στήλες</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ΝΟΜΙΣΜΑ</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Για συναλλαγές που κατατάσσονται στην κατηγορία κινδύνου επιτοκίου, αναφέρεται το νόμισμα στο οποίο είναι εκφρασμένη η συναλλαγή.</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Για συναλλαγές που κατατάσσονται στην κατηγορία κινδύνου συναλλάγματος, αναφέρεται το νόμισμα στο οποίο είναι εκφρασμένο το ένα από τα δύο σκέλη της συναλλαγής. Τα ιδρύματα εισαγάγουν τα νομίσματα </w:t>
            </w:r>
            <w:r>
              <w:rPr>
                <w:rFonts w:ascii="Times New Roman" w:hAnsi="Times New Roman"/>
                <w:sz w:val="24"/>
              </w:rPr>
              <w:lastRenderedPageBreak/>
              <w:t xml:space="preserve">του ζεύγους νομισμάτων με αλφαβητική σειρά, π.χ. για δολάριο ΗΠΑ/ευρώ συμπληρώστε EUR σε αυτή τη στήλη και USD στη στήλη 0020.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Χρησιμοποιούνται οι </w:t>
            </w:r>
            <w:hyperlink r:id="rId10" w:history="1">
              <w:r>
                <w:rPr>
                  <w:rFonts w:ascii="Times New Roman" w:hAnsi="Times New Roman"/>
                  <w:sz w:val="24"/>
                </w:rPr>
                <w:t>κωδικοί νομίσματος ISO</w:t>
              </w:r>
            </w:hyperlink>
            <w:r>
              <w:rPr>
                <w:rFonts w:ascii="Times New Roman" w:hAnsi="Times New Roman"/>
                <w:sz w:val="24"/>
              </w:rPr>
              <w:t>.</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lastRenderedPageBreak/>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ΔΕΥΤΕΡΟ ΝΟΜΙΣΜΑ ΖΕΥΓΟΥΣ</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Για συναλλαγές που κατατάσσονται στην κατηγορία κινδύνου συναλλάγματος, αναφέρεται το νόμισμα στο οποίο είναι εκφρασμένο το άλλο σκέλος (σε σχέση με το πρώτο που έχει ήδη συμπεριληφθεί στη στήλη 0010) της συναλλαγής. Τα ιδρύματα εισαγάγουν τα νομίσματα του ζεύγους νομισμάτων με αλφαβητική σειρά, π.χ. για δολάριο ΗΠΑ/ευρώ συμπληρώστε USD σε αυτή τη στήλη και EUR στη στήλη 0010.</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Χρησιμοποιούνται οι </w:t>
            </w:r>
            <w:hyperlink r:id="rId11" w:history="1">
              <w:r>
                <w:rPr>
                  <w:rFonts w:ascii="Times New Roman" w:hAnsi="Times New Roman"/>
                  <w:sz w:val="24"/>
                </w:rPr>
                <w:t>κωδικοί νομίσματος ISO</w:t>
              </w:r>
            </w:hyperlink>
            <w:r>
              <w:rPr>
                <w:rFonts w:ascii="Times New Roman" w:hAnsi="Times New Roman"/>
                <w:sz w:val="24"/>
              </w:rPr>
              <w:t>.</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ΣΥΝΑΛΛΑΓΩΝ</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Βλέπε οδηγίες για τη στήλη 0020 στο υπόδειγμα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ΟΝΟΜΑΣΤΙΚΑ ΠΟΣΑ</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Βλέπε οδηγίες για τη στήλη 0030 στο υπόδειγμα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αντισταθμιστικών συνόλων με θετική CMV στην αντίστοιχη κατηγορία κινδύνου.</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Η CMV σε επίπεδο αντισταθμιστικού συνόλου προσδιορίζεται με συμψηφισμό των θετικών και αρνητικών αγοραίων αξιών των συναλλαγών που περιλαμβάνονται στο αντισταθμιστικό σύνολο μη λαμβανομένων υπόψη των τυχόν εξασφαλίσεων που τηρούνται ή παρέχονται.</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απόλυτων τρεχουσών αγοραίων αξιών (CMV) όλων των αντισταθμιστικών συνόλων με αρνητική CMV στην αντίστοιχη κατηγορία κινδύνου.</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Η CMV σε επίπεδο αντισταθμιστικού συνόλου προσδιορίζεται με συμψηφισμό των θετικών και αρνητικών αγοραίων αξιών των συναλλαγών που περιλαμβάνονται στο αντισταθμιστικό σύνολο μη λαμβανομένων υπόψη των τυχόν εξασφαλίσεων που τηρούνται ή παρέχονται.</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ΠΡΟΣΑΥΞΗΣΗ</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Άρθρα 280α έως 280στ και άρθρο 281 παράγραφος 2 του κανονισμού (ΕΕ) αριθ. 575/2013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Το ίδρυμα αναφέρει το άθροισμα όλων των προσαυξήσεων στην αντίστοιχη κατηγορία αντισταθμιστικού συνόλου / κινδύνου.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Η προσαύξηση ανά κατηγορία κινδύνου που χρησιμοποιείται για τον προσδιορισμό του ενδεχόμενου μελλοντικού ανοίγματος ενός συμψηφιστικού συνόλου σύμφωνα με το άρθρο 278 παράγραφος 1 ή σύμφωνα με το άρθρο 281 παράγραφος 2 στοιχείο στ) του κανονισμού (ΕΕ) αριθ. 575/2013 υπολογίζεται σύμφωνα με τα άρθρα 280α έως 280στ του εν λόγω κανονισμού. </w:t>
            </w:r>
            <w:r>
              <w:rPr>
                <w:rFonts w:ascii="Times New Roman" w:hAnsi="Times New Roman"/>
                <w:sz w:val="24"/>
              </w:rPr>
              <w:lastRenderedPageBreak/>
              <w:t>Για την απλουστευμένη SA-CCR ισχύουν οι διατάξεις του άρθρου 281 παράγραφος 2 του κανονισμού (ΕΕ) αριθ.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Γραμμές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ΚΑΤΗΓΟΡΙΕΣ ΚΙΝΔΥΝΟΥ</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Άρθρα 277 και 277α του κανονισμού (ΕΕ) αριθ.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Οι συναλλαγές κατατάσσονται ανάλογα με την κατηγορία κινδύνου στην οποία ανήκουν σύμφωνα με το άρθρο 277 παράγραφοι 1 έως 4 του κανονισμού (ΕΕ) αριθ.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Η κατάταξη σε αντισταθμιστικά σύνολα σύμφωνα με την κατηγορία κινδύνου διενεργείται σύμφωνα με το άρθρο 277α του κανονισμού (ΕΕ) αριθ.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Για την απλουστευμένη SA-CCR ισχύουν οι διατάξεις του άρθρου 281 παράγραφος 2 του κανονισμού (ΕΕ) αριθ.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κατατάσσονται σε περισσότερες από μία κατηγορίες κινδύνου</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277 παράγραφος 3 του κανονισμού (ΕΕ) αριθ.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Συναλλαγές σε παράγωγα με περισσότερους από έναν παράγοντες σημαντικού κινδύνου που κατατάσσονται σε δύο (0020), τρεις (0030) ή περισσότερες από τρεις (0040) κατηγορίες κινδύνου με βάση τον σημαντικότερο παράγοντα κινδύνου σε κάθε κατηγορία κινδύνου, σύμφωνα με το άρθρο 277 παράγραφος 3 του κανονισμού (ΕΕ) αριθ. 575/2013 και τα ΡΤΠ της ΕΑΤ που αναφέρονται στο άρθρο 277 παράγραφος 5 του εν λόγω κανονισμού.</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0070-0110 και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Σημαντικότερο νόμισμα και ζεύγος νομισμάτων</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Η ταξινόμηση γίνεται με βάση την τρέχουσα αγοραία αξία του χαρτοφυλακίου του ιδρύματος σύμφωνα με το πεδίο εφαρμογής της SA-CCR ή της απλουστευμένης SA-CCR, κατά περίπτωση, για συναλλαγές που κατατάσσονται στην κατηγορία κινδύνου επιτοκίου και την κατηγορία κινδύνου συναλλάγματος, αντίστοιχα.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Για τους σκοπούς της ταξινόμησης,</w:t>
            </w:r>
            <w:r>
              <w:rPr>
                <w:rFonts w:ascii="inherit" w:hAnsi="inherit"/>
                <w:sz w:val="24"/>
              </w:rPr>
              <w:t xml:space="preserve"> αθροίζεται η απόλυτη αξία της τρέχουσας αγοραίας αξίας όλων των θέσεων.</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Αποκλειστική κατάταξη</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277 παράγραφοι 1 και 2 του κανονισμού (ΕΕ) αριθ.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Οι συναλλαγές σε παράγωγα κατατάσσονται αποκλειστικά σε μία κατηγορία κινδύνου σύμφωνα με το άρθρο 277 παράγραφοι 1 και 2 του κανονισμού (ΕΕ) αριθ. 575/2013.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lastRenderedPageBreak/>
              <w:t>Εξαιρούνται οι συναλλαγές που κατατάσσονται σε διαφορετικές κατηγορίες κινδύνου σύμφωνα με το άρθρο 277 παράγραφος 3 του κανονισμού (ΕΕ) αριθ. 575/2013.</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lastRenderedPageBreak/>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Συναλλαγές μεμονωμένου πιστούχου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Συναλλαγές μεμονωμένου πιστούχου που κατατάσσονται στην κατηγορία πιστωτικού κινδύνου και στην κατηγορία κινδύνου μετοχών αντίστοιχα.</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Συναλλαγές διαφορετικών πιστούχων</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Συναλλαγές διαφορετικών πιστούχων που κατατάσσονται στην κατηγορία πιστωτικού κινδύνου και στην κατηγορία κινδύνου μετοχών αντίστοιχα.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Αντισταθμιστικά σύνολα κατηγορίας κινδύνου βασικών εμπορευμάτων</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Συναλλαγές σε παράγωγα που κατατάσσονται στα αντισταθμιστικά σύνολα κατηγορίας κινδύνου βασικών εμπορευμάτων όπως παρατίθενται στο άρθρο 277α παράγραφος 1 στοιχείο ε) του κανονισμού (ΕΕ) αριθ.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Ανοίγματα CCR που αντιμετωπίζονται με τη μέθοδο αρχικού ανοίγματος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Οδηγίες για συγκεκριμένες θέσεις</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Στήλες</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 – 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Οι οδηγίες για τις στήλες 0010 και 0020 είναι αυτές που παρέχονται για το υπόδειγμα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συναλλαγών με θετική CMV στην αντίστοιχη κατηγορία κινδύνου.</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Το άθροισμα των απόλυτων τρεχουσών αγοραίων αξιών (CMV) όλων των συναλλαγών με αρνητική CMV στην αντίστοιχη κατηγορία κινδύνου.</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ΕΝΔΕΧΟΜΕΝΟ ΜΕΛΛΟΝΤΙΚΟ ΑΝΟΙΓΜΑ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Το ίδρυμα αναφέρει το άθροισμα των ενδεχόμενων μελλοντικών ανοιγμάτων για όλες τις συναλλαγές που ανήκουν στην ίδια κατηγορία κινδύνου.</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Γραμμές</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lastRenderedPageBreak/>
              <w:t>0020 - 0070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ΚΑΤΗΓΟΡΙΕΣ ΚΙΝΔΥΝΟΥ</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Συναλλαγές σε παράγωγα που κατατάσσονται στις κατηγορίες κινδύνου όπως παρατίθενται στο άρθρο 282 παράγραφος 4 στοιχείο β) του κανονισμού (ΕΕ) αριθ.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Ανοίγματα CCR που αντιμετωπίζονται με τη μέθοδο των εσωτερικών υποδειγμάτων (ΙΜM)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Οδηγίες για συγκεκριμένες θέσεις</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Στήλες</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 – 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ΜΕ ΚΑΘΟΡΙΣΜΟ ΠΕΡΙΘΩΡΙΟΥ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Βλέπε οδηγίες για τη γραμμή 0130 στο υπόδειγμα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0090 - 0160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ΧΩΡΙΣ ΚΑΘΟΡΙΣΜΟ ΠΕΡΙΘΩΡΙΟΥ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Βλέπε οδηγίες για τη γραμμή 0140 στο υπόδειγμα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ΑΡΙΘΜΟΣ ΣΥΝΑΛΛΑΓΩΝ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Βλέπε οδηγίες για τη στήλη 0020 στο υπόδειγμα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ΟΝΟΜΑΣΤΙΚΑ ΠΟΣΑ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Βλέπε οδηγίες για τη στήλη 0030 στο υπόδειγμα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συναλλαγών με θετική CMV που ανήκουν στην ίδια κατηγορία στοιχείων ενεργητικού.</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Το άθροισμα των απόλυτων τρεχουσών αγοραίων αξιών (CMV) όλων των συναλλαγών με αρνητική CMV που ανήκουν στην ίδια κατηγορία στοιχείων ενεργητικού.</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ΤΡΕΧΟΝ ΑΝΟΙΓΜΑ</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Βλέπε οδηγίες για τη στήλη 0120 στο υπόδειγμα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ΠΡΑΓΜΑΤΙΚΟ ΑΝΑΜΕΝΟΜΕΝΟ ΘΕΤΙΚΟ ΑΝΟΙΓΜΑ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Βλέπε οδηγίες για τη στήλη 0130 στο υπόδειγμα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ΑΚΡΑΙΩΝ ΣΥΝΘΗΚΩΝ</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Άρθρο 284 παράγραφος 6 και άρθρο 292 παράγραφος 2 του κανονισμού (ΕΕ) αριθ.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Το πραγματικό αναμενόμενο θετικό άνοιγμα (EEPE) ακραίων καταστάσεων υπολογίζεται κατ’ αναλογία του EEPE [άρθρο 284 παράγραφος 6 του κανονισμού (ΕΕ) αριθ. 575/2013], αλλά με χρήση βαθμονόμησης ακραίων </w:t>
            </w:r>
            <w:r>
              <w:rPr>
                <w:rFonts w:ascii="Times New Roman" w:hAnsi="Times New Roman"/>
                <w:sz w:val="24"/>
              </w:rPr>
              <w:lastRenderedPageBreak/>
              <w:t>καταστάσεων σύμφωνα με το άρθρο 292 παράγραφος 2 του κανονισμού (ΕΕ) αριθ.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lastRenderedPageBreak/>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Βλέπε οδηγίες για τη στήλη 0170 στο υπόδειγμα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Γραμμή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Επεξήγηση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ΣΥΝΟΛΟ </w:t>
            </w:r>
          </w:p>
          <w:p w14:paraId="43496D3B" w14:textId="77777777" w:rsidR="00EF74C7" w:rsidRPr="002A677E" w:rsidRDefault="00EF74C7" w:rsidP="00822842">
            <w:pPr>
              <w:keepNext/>
              <w:spacing w:before="60"/>
              <w:rPr>
                <w:sz w:val="24"/>
              </w:rPr>
            </w:pPr>
            <w:r>
              <w:rPr>
                <w:rFonts w:ascii="Times New Roman" w:hAnsi="Times New Roman"/>
                <w:sz w:val="24"/>
              </w:rPr>
              <w:t>Άρθρο 283 του κανονισμού (ΕΕ) αριθ. 575/2013</w:t>
            </w:r>
          </w:p>
          <w:p w14:paraId="72F05A01" w14:textId="77777777" w:rsidR="00EF74C7" w:rsidRPr="002A677E" w:rsidRDefault="00EF74C7" w:rsidP="00822842">
            <w:pPr>
              <w:rPr>
                <w:sz w:val="24"/>
              </w:rPr>
            </w:pPr>
            <w:r>
              <w:rPr>
                <w:rFonts w:ascii="Times New Roman" w:hAnsi="Times New Roman"/>
                <w:sz w:val="24"/>
              </w:rPr>
              <w:t>Το ίδρυμα αναφέρει τις σχετικές πληροφορίες αναφορικά με τα παράγωγα, τις συναλλαγές με μακρά προθεσμία διακανονισμού και τις ΣΧΤ για τις οποίες το ίδρυμα επιτρέπεται να προσδιορίσει την αξία ανοίγματος χρησιμοποιώντας τη μέθοδο των εσωτερικών υποδειγμάτων (IMM) σύμφωνα με το άρθρο 283 του κανονισμού (ΕΕ) αριθ.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Θέσεις SWWR</w:t>
            </w:r>
          </w:p>
          <w:p w14:paraId="1013C757" w14:textId="77777777" w:rsidR="00EF74C7" w:rsidRPr="002A677E" w:rsidRDefault="00EF74C7" w:rsidP="00822842">
            <w:pPr>
              <w:rPr>
                <w:rFonts w:ascii="Times New Roman" w:hAnsi="Times New Roman"/>
                <w:sz w:val="24"/>
              </w:rPr>
            </w:pPr>
            <w:r>
              <w:rPr>
                <w:rFonts w:ascii="Times New Roman" w:hAnsi="Times New Roman"/>
                <w:sz w:val="24"/>
              </w:rPr>
              <w:t>Βλέπε οδηγίες για τη γραμμή 0120 στο υπόδειγμα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που αντιμετωπίζονται με την τυποποιημένη προσέγγιση πιστωτικού κινδύνου</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Βλέπε οδηγίες για τη στήλη 0180 στο υπόδειγμα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Συμψηφιστικά σύνολα αντιμετωπίζονται με την προσέγγιση IRB για τον πιστωτικό κίνδυνο</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Βλέπε οδηγίες για τη στήλη 0190 στο υπόδειγμα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0050 - 0110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ΕΞΩΧΡΗΜΑΤΙΣΤΗΡΙΑΚΑ ΠΑΡΑΓΩΓΑ</w:t>
            </w:r>
          </w:p>
          <w:p w14:paraId="0E8A5849" w14:textId="77777777" w:rsidR="00EF74C7" w:rsidRPr="002A677E" w:rsidRDefault="00EF74C7" w:rsidP="00822842">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εξωχρηματιστηριακά παράγωγα ή εξωχρηματιστηριακές πράξεις με μακρά προθεσμία διακανονισμού για τις οποίες το ίδρυμα επιτρέπεται να προσδιορίσει την αξία ανοίγματος χρησιμοποιώντας τη μέθοδο των εσωτερικών υποδειγμάτων (IMM) κατανεμημένα ανά κατηγορία στοιχείου ενεργητικού όσον αφορά το υποκείμενο (επιτόκιο, συνάλλαγμα, πίστωση, μετοχές, βασικό εμπόρευμα ή άλλο).</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0120 - 0180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ΧΡΗΜΑΤΙΣΤΗΡΙΑΚΑ ΠΑΡΑΓΩΓΑ</w:t>
            </w:r>
          </w:p>
          <w:p w14:paraId="58D9B48E" w14:textId="77777777" w:rsidR="00EF74C7" w:rsidRPr="002A677E" w:rsidRDefault="00EF74C7" w:rsidP="00822842">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χρηματιστηριακά παράγωγα ή χρηματιστηριακές πράξεις με μακρά προθεσμία διακανονισμού για τις οποίες το ίδρυμα επιτρέπεται να προσδιορίσει την αξία ανοίγματος χρησιμοποιώντας τη μέθοδο των εσωτερικών υποδειγμάτων (IMM) κατανεμημένα ανά κατηγορία στοιχείου ενεργητικού όσον αφορά το υποκείμενο (επιτόκιο, συνάλλαγμα, πίστωση, μετοχές, βασικό εμπόρευμα ή άλλο).</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lastRenderedPageBreak/>
              <w:t>0190 - 0220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ΣΥΝΑΛΛΑΓΕΣ ΧΡΗΜΑΤΟΔΟΤΗΣΗΣ ΤΙΤΛΩΝ</w:t>
            </w:r>
          </w:p>
          <w:p w14:paraId="1CD88A29" w14:textId="77777777" w:rsidR="00EF74C7" w:rsidRPr="002A677E" w:rsidRDefault="00EF74C7" w:rsidP="00822842">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ΣΧΤ για τις οποίες το ίδρυμα επιτρέπεται να προσδιορίσει την αξία ανοίγματος χρησιμοποιώντας τη μέθοδο των εσωτερικών υποδειγμάτων (IMM) αναλυμένα ανά κατηγορία υποκείμενου του σκέλους τίτλων των ΣΧΤ (ομόλογο, μετοχές ή άλλο).</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ΣΥΝΟΛΑ ΣΥΜΒΑΤΙΚΟΥ ΣΥΜΨΗΦΙΣΜΟΥ ΜΕΤΑΞΥ ΠΡΟΪΟΝΤΩΝ</w:t>
            </w:r>
          </w:p>
          <w:p w14:paraId="7F1F09BD" w14:textId="77777777" w:rsidR="00EF74C7" w:rsidRPr="002A677E" w:rsidRDefault="00EF74C7" w:rsidP="00822842">
            <w:pPr>
              <w:rPr>
                <w:rFonts w:ascii="Times New Roman" w:hAnsi="Times New Roman"/>
                <w:sz w:val="24"/>
              </w:rPr>
            </w:pPr>
            <w:r>
              <w:rPr>
                <w:rFonts w:ascii="Times New Roman" w:hAnsi="Times New Roman"/>
                <w:sz w:val="24"/>
              </w:rPr>
              <w:t>Βλέπε οδηγίες για τη γραμμή 0070 στο υπόδειγμα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Είκοσι σημαντικότεροι αντισυμβαλλόμενοι</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Γενικές παρατηρήσεις</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126</w:t>
      </w:r>
      <w:r>
        <w:fldChar w:fldCharType="end"/>
      </w:r>
      <w:r>
        <w:t>. Τα ιδρύματα αναφέρουν πληροφορίες σχετικά με τους 20 σημαντικότερους αντισυμβαλλόμενους με τους οποίους έχουν τα υψηλότερα ανοίγματα CCR. Η ιεράρχηση γίνεται με χρήση των αξιών ανοίγματος CCR, όπως αναφέρονται στη στήλη 0120 αυτού του υποδείγματος, για όλα τα συμψηφιστικά σύνολα με τους αντίστοιχους αντισυμβαλλομένους. Κατά τον προσδιορισμό του καταλόγου με τους 20 σημαντικότερους αντισυμβαλλομένους λαμβάνονται επίσης υπόψη ανοίγματα εντός ομίλου ή άλλα ανοίγματα που εγείρουν πιστωτικό κίνδυνο αντισυμβαλλομένου, αλλά για τα οποία το ίδρυμα εφαρμόζει μηδενικό συντελεστή στάθμισης κινδύνου για τον υπολογισμό των απαιτήσεων ιδίων κεφαλαίων, σύμφωνα με το άρθρο 113 παράγραφοι 6 και 7 του κανονισμού (ΕΕ) αριθ. 575/2013.</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127</w:t>
      </w:r>
      <w:r>
        <w:fldChar w:fldCharType="end"/>
      </w:r>
      <w:r>
        <w:t xml:space="preserve">. Τα ιδρύματα που εφαρμόζουν την τυποποιημένη προσέγγιση (SA-CCR) ή τη μέθοδο των εσωτερικών υποδειγμάτων (IMM) για τον υπολογισμό των ανοιγμάτων CCR σύμφωνα με το τρίτο μέρος τίτλος II κεφάλαιο 6 τμήματα 3 και 6 του κανονισμού (ΕΕ) αριθ. 575/2013 υποβάλλουν το παρόν υπόδειγμα σε τριμηνιαία βάση. Τα ιδρύματα που εφαρμόζουν την απλουστευμένη τυποποιημένη προσέγγιση ή τη μέθοδο αρχικού ανοίγματος (OEM) για τον υπολογισμό των ανοιγμάτων CCR σύμφωνα με το τρίτο μέρος τίτλος II κεφάλαιο 6 τμήματα 4 και 5 του κανονισμού (ΕΕ) αριθ. 575/2013 υποβάλλουν το παρόν υπόδειγμα σε εξαμηνιαία βάση. </w:t>
      </w:r>
      <w:bookmarkStart w:id="46" w:name="_Toc19715818"/>
      <w:r>
        <w:t>Οδηγίες για συγκεκριμένες θέσεις</w:t>
      </w:r>
      <w:bookmarkEnd w:id="46"/>
      <w:r>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Οδηγίες για συγκεκριμένες θέσεις</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Στήλες</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ΟΝΟΜΑΣΙΑ</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Ονομασία του αντισυμβαλλομένου</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ΚΩΔΙΚΟΣ</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 xml:space="preserve">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κωδικός μη LEI. </w:t>
            </w:r>
            <w:r>
              <w:rPr>
                <w:rFonts w:ascii="Times New Roman" w:hAnsi="Times New Roman"/>
                <w:sz w:val="24"/>
              </w:rPr>
              <w:lastRenderedPageBreak/>
              <w:t>Ο κωδικός είναι μοναδικός και χρησιμοποιείται με συνέπεια σε όλα τα υποδείγματα και διαχρονικά. Ο κωδικός έχει πάντοτε μια τιμή.</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lastRenderedPageBreak/>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ΕΙΔΟΣ ΚΩΔΙΚΟΥ</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 xml:space="preserve">Το ίδρυμα προσδιορίζει το είδος του κωδικού που αναφέρεται στη </w:t>
            </w:r>
            <w:r>
              <w:rPr>
                <w:rStyle w:val="FormatvorlageInstructionsTabelleText"/>
                <w:rFonts w:ascii="Times New Roman" w:hAnsi="Times New Roman"/>
                <w:sz w:val="24"/>
              </w:rPr>
              <w:t>στήλη 0020 ως “Κωδικό LEI” ή “Εθνικό κωδικό”.</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Το είδος του κωδικού αναφέρεται πάντοτε.</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ΕΘΝΙΚΟΣ ΚΩΔΙΚΟΣ</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Το ίδρυμα μπορεί επιπλέον να αναφέρει τον εθνικό κωδικό όταν αναφέρει τον κωδικό LEI ως αναγνωριστικό στη στήλη 0020 “Κωδικός”.</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ΚΛΑΔΟΣ ΑΝΤΙΣΥΜΒΑΛΛΟΜΕΝΟΥ</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Για κάθε αντισυμβαλλόμενο επιλέγεται ένας τομέας με βάση τις κατηγορίες οικονομικών τομέων στο πλαίσιο της χρηματοοικονομικής αναφοράς (FINREP) [Βλ. παράρτημα V μέρος 3 του παρόντος εκτελεστικού κανονισμού]:</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κεντρικές τράπεζες·</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γενικές κυβερνήσεις·</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πιστωτικά ιδρύματα·</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επιχειρήσεις επενδύσεων όπως ορίζονται στο άρθρο 4 παράγραφος 1 σημείο 2) του κανονισμού (ΕΕ) αριθ.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άλλες χρηματοδοτικές εταιρείες (πλην των επιχειρήσεων επενδύσεων)·</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μη χρηματοδοτικές εταιρείες.</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ΤΥΠΟΣ ΑΝΤΙΣΥΜΒΑΛΛΟΜΕΝΟΥ</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ίδρυμα αναφέρει τον τύπο αντισυμβαλλομένου, ο οποίος μπορεί να είναι:</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QCCP: όταν ο αντισυμβαλλόμενος είναι αναγνωρισμένος κεντρικός αντισυμβαλλόμενος·</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NON-QCCP: όταν ο αντισυμβαλλόμενος είναι μη αναγνωρισμένος κεντρικός αντισυμβαλλόμενος·</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No CCP: όταν ο αντισυμβαλλόμενος δεν είναι κεντρικός αντισυμβαλλόμενος.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ΤΟΠΟΣ ΚΑΤΟΙΚΙΑΣ ΤΟΥ ΑΝΤΙΣΥΜΒΑΛΛΟΜΕΝΟΥ</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Χρησιμοποιείται ο κωδικός ISO 3166-1-alpha-2 της χώρας σύστασης του αντισυμβαλλομένου (περιλαμβανομένων των ψευδοκωδικών ISO για τους διεθνείς οργανισμούς, που είναι διαθέσιμοι στον “Οδηγό ισοζυγίου πληρωμών” της Eurostat, όπως έχει τροποποιηθεί).</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ΑΡΙΘΜΟΣ ΣΥΝΑΛΛΑΓΩΝ</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Βλέπε οδηγίες για τη στήλη 0020 στο υπόδειγμα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lastRenderedPageBreak/>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ΟΝΟΜΑΣΤΙΚΑ ΠΟΣΑ</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Βλέπε οδηγίες για τη στήλη 0030 στο υπόδειγμα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ΤΡΕΧΟΥΣΑ ΑΓΟΡΑΙΑ ΑΞΙΑ (CMV), θετική</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Βλέπε οδηγίες για τη στήλη 0040 στο υπόδειγμα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Το ίδρυμα αναφέρει το άθροισμα των συμψηφιστικών συνόλων με θετική τρέχουσα αγοραία αξία εάν υπάρχουν διάφορα συμψηφιστικά σύνολα για τον ίδιο αντισυμβαλλόμενο.</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ΤΡΕΧΟΥΣΑ ΑΓΟΡΑΙΑ ΑΞΙΑ (CMV), αρνητική</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Βλέπε οδηγίες για τη στήλη 0040 στο υπόδειγμα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Το ίδρυμα αναφέρει το απόλυτο άθροισμα των συμψηφιστικών συνόλων με αρνητική τρέχουσα αγοραία αξία εάν υπάρχουν διάφορα συμψηφιστικά σύνολα για τον ίδιο αντισυμβαλλόμενο.</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ΑΞΙΑ ΑΝΟΙΓΜΑΤΟΣ ΜΕΤΑ ΑΠΟ ΤΗ CRM</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Βλέπε οδηγίες για τη στήλη 0160 στο υπόδειγμα C 34.02.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Το ίδρυμα αναφέρει το άθροισμα των αξιών ανοίγματος μετά τη CRM για τα συμψηφιστικά σύνολα εάν υπάρχουν διάφορα συμψηφιστικά σύνολα για τον ίδιο αντισυμβαλλόμενο.</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ΑΞΙΑ ΑΝΟΙΓΜΑΤΟΣ</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Βλέπε οδηγίες για τη στήλη 0170 στο υπόδειγμα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ΠΟΣΑ ΑΝΟΙΓΜΑΤΟΣ ΣΤΑΘΜΙΣΜΕΝΑ ΩΣ ΠΡΟΣ ΤΟΝ ΚΙΝΔΥΝΟ</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Βλέπε οδηγίες για τη στήλη 0200 στο υπόδειγμα C 34.02.</w:t>
            </w:r>
          </w:p>
        </w:tc>
      </w:tr>
    </w:tbl>
    <w:p w14:paraId="4CB615BB" w14:textId="77777777" w:rsidR="00EF74C7" w:rsidRPr="00651079"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Προσέγγιση IRB – Ανοίγματα CCR ανά κατηγορία ανοιγμάτων και κλίμακα πιθανότητας αθέτησης</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Γενικές παρατηρήσεις</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128</w:t>
      </w:r>
      <w:r>
        <w:fldChar w:fldCharType="end"/>
      </w:r>
      <w:r>
        <w:t xml:space="preserve">. Το παρόν υπόδειγμα υποβάλλεται από ιδρύματα που χρησιμοποιούν είτε την εξελιγμένη είτε τη θεμελιώδη προσέγγιση IRB για να υπολογίσουν τα σταθμισμένα ως προς τον κίνδυνο ποσά ανοιγμάτων για το σύνολο ή μέρος των οικείων ανοιγμάτων CCR σύμφωνα με το άρθρο 107 του κανονισμού (ΕΕ) αριθ. 575/2013, ανεξάρτητα από την προσέγγιση CCR που χρησιμοποιείται για τον προσδιορισμό των αξιών ανοίγματος σύμφωνα με το τρίτο μέρος τίτλος II κεφάλαια 4 και 6 του κανονισμού (ΕΕ) αριθ. 575/2013.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129</w:t>
      </w:r>
      <w:r>
        <w:fldChar w:fldCharType="end"/>
      </w:r>
      <w:r>
        <w:t xml:space="preserve">. Το υπόδειγμα υποβάλλεται χωριστά για το σύνολο όλων των κατηγοριών ανοιγμάτων, καθώς και χωριστά για καθεμία από τις κατηγορίες ανοιγμάτων που παρατίθενται στο άρθρο 147 του κανονισμού (ΕΕ) αριθ. 575/2013. Τα ανοίγματα που εκκαθαρίζονται μέσω κεντρικού αντισυμβαλλομένου εξαιρούνται από το παρόν υπόδειγμα. </w:t>
      </w:r>
    </w:p>
    <w:p w14:paraId="606463EA" w14:textId="4FB3F052"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t>130</w:t>
      </w:r>
      <w:r>
        <w:fldChar w:fldCharType="end"/>
      </w:r>
      <w:r>
        <w:t>. 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“ΝΑΙ” = εάν χρησιμοποιούνται εσωτερικές εκτιμήσεις της ζημίας λόγω αθέτησης (LGD) και των συντελεστών μετατροπής (εξελιγμένη προσέγγιση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Οδηγίες για συγκεκριμένες θέσεις</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Στήλες</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Αξία ανοίγματος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Αξία ανοίγματος (βλέπε οδηγίες για τη στήλη 0170 στο υπόδειγμα C 34.02)</w:t>
            </w:r>
            <w:r>
              <w:rPr>
                <w:rFonts w:ascii="Times New Roman" w:hAnsi="Times New Roman"/>
                <w:i/>
                <w:sz w:val="24"/>
              </w:rPr>
              <w:t>,</w:t>
            </w:r>
            <w:r>
              <w:rPr>
                <w:rFonts w:ascii="Times New Roman" w:hAnsi="Times New Roman"/>
                <w:sz w:val="24"/>
              </w:rPr>
              <w:t xml:space="preserve"> με ανάλυση ανά κλίμακα PD</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Μέση σταθμισμένη ως προς το άνοιγμα PD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Η μέση τιμή των PD των επιμέρους βαθμίδων οφειλέτη σταθμισμένη ως προς την οικεία αντίστοιχη αξία ανοίγματος όπως έχει οριστεί για τη στήλη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Αριθμός οφειλετών </w:t>
            </w:r>
          </w:p>
          <w:p w14:paraId="75633515" w14:textId="77777777" w:rsidR="00EF74C7" w:rsidRPr="002A677E" w:rsidRDefault="00EF74C7" w:rsidP="00822842">
            <w:pPr>
              <w:rPr>
                <w:rFonts w:ascii="Times New Roman" w:hAnsi="Times New Roman"/>
                <w:sz w:val="24"/>
              </w:rPr>
            </w:pPr>
            <w:r>
              <w:rPr>
                <w:rFonts w:ascii="Times New Roman" w:hAnsi="Times New Roman"/>
                <w:sz w:val="24"/>
              </w:rPr>
              <w:t>Ο αριθμός των νομικών οντοτήτων ή οφειλετών που έχουν καταταχθεί σε κάθε κλιμάκιο της προκαθορισμένης κλίμακας PD που έχουν διαβαθμιστεί χωριστά, ανεξαρτήτως του αριθμού των διαφόρων χορηγηθέντων δανείων ή ανοιγμάτων</w:t>
            </w:r>
          </w:p>
          <w:p w14:paraId="79F85080" w14:textId="77777777" w:rsidR="00EF74C7" w:rsidRPr="002A677E" w:rsidRDefault="00EF74C7" w:rsidP="00822842">
            <w:pPr>
              <w:rPr>
                <w:rFonts w:ascii="Times New Roman" w:hAnsi="Times New Roman"/>
                <w:sz w:val="24"/>
              </w:rPr>
            </w:pPr>
            <w:r>
              <w:rPr>
                <w:rFonts w:ascii="Times New Roman" w:hAnsi="Times New Roman"/>
                <w:sz w:val="24"/>
              </w:rPr>
              <w:t>Εάν διαφορετικά ανοίγματα προς τον ίδιο οφειλέτη έχουν διαβαθμιστεί χωριστά, προσμετρώνται χωριστά. Μια τέτοια περίπτωση μπορεί να ανακύψει εάν χωριστά ανοίγματα προς τον ίδιο οφειλέτη έχουν καταταχθεί σε διαφορετικές βαθμίδες οφειλέτη σύμφωνα με το άρθρο 172 παράγραφος 1 στοιχείο ε) δεύτερη περίοδος του κανονισμού (ΕΕ) αριθ.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Μέσο σταθμισμένο ως προς το άνοιγμα ύψος της LGD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Το μέσο ύψος της LGD των βαθμίδων οφειλέτη σταθμισμένο ως προς την αντίστοιχη αξία ανοίγματος όπως έχει οριστεί για τη στήλη 0010</w:t>
            </w:r>
          </w:p>
          <w:p w14:paraId="7080F0A6" w14:textId="080029A0" w:rsidR="00EF74C7" w:rsidRPr="002A677E" w:rsidRDefault="00EF74C7" w:rsidP="00822842">
            <w:pPr>
              <w:rPr>
                <w:rFonts w:ascii="Times New Roman" w:hAnsi="Times New Roman"/>
                <w:sz w:val="24"/>
              </w:rPr>
            </w:pPr>
            <w:r>
              <w:rPr>
                <w:rFonts w:ascii="Times New Roman" w:hAnsi="Times New Roman"/>
                <w:sz w:val="24"/>
              </w:rPr>
              <w:t xml:space="preserve">Η αναφερόμενη LGD αντιστοιχεί στην τελική εκτίμηση LGD που χρησιμοποιήθηκε για τον υπολογισμό των σταθμισμένων ως προς τον κίνδυνο ποσών ανοίγματος αφού είχαν ληφθεί υπόψη τυχόν αποτελέσματα της μείωσης του πιστωτικού κινδύνου και συνθήκες οικονομικής ύφεσης όπως ορίζεται στο τρίτο μέρος τίτλος II κεφάλαια 3 και 4 του κανονισμού (ΕΕ) αριθ. 575/2013, κατά περίπτωση. Ειδικότερα, 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σύμφωνα με το άρθρο 230 του κανονισμού (ΕΕ) αριθ. 575/2013. Εάν </w:t>
            </w:r>
            <w:r>
              <w:rPr>
                <w:rFonts w:ascii="Times New Roman" w:hAnsi="Times New Roman"/>
                <w:sz w:val="24"/>
              </w:rPr>
              <w:lastRenderedPageBreak/>
              <w:t>χρησιμοποιούνται εσωτερικές εκτιμήσεις της LGD, λαμβάνονται υπόψη το άρθρο 175 και το άρθρο 181 παράγραφοι 1 και 2 του κανονισμού (ΕΕ) αριθ.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t>Στην περίπτωση ανοιγμάτων που υπόκεινται σε αντιμετώπιση αμοιβαίας αθέτησης, η αναφερόμενη ζημία λόγω αθέτησης αντιστοιχεί σε εκείνη που επιλέγεται σύμφωνα με το άρθρο 161 παράγραφος 4 του κανονισμού (ΕΕ) αριθ. 575/2013.</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Για τα ανοίγματα σε αθέτηση σύμφωνα με την προσέγγιση A-IRB, λαμβάνονται υπόψη οι διατάξεις του άρθρου 181 παράγραφος 1 στοιχείο η) του κανονισμού (ΕΕ) αριθ. 575/2013. Η αναφερόμενη LGD αντιστοιχεί στην εκτίμηση της LGD σε αθέτηση.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Σταθμισμένη ως προς το άνοιγμα μέση ληκτότητα (έτη)</w:t>
            </w:r>
          </w:p>
          <w:p w14:paraId="32B69B7E"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Το μέσο</w:t>
            </w:r>
            <w:r>
              <w:rPr>
                <w:rFonts w:ascii="Times New Roman" w:hAnsi="Times New Roman"/>
                <w:sz w:val="24"/>
              </w:rPr>
              <w:t xml:space="preserve"> ύψος της ληκτότητας των οφειλετών σε έτη σταθμισμένο ως προς την αντίστοιχη αξία ανοίγματος όπως έχει οριστεί για τη στήλη 0010</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Η ληκτότητα καθορίζεται σύμφωνα με το άρθρο 162 του κανονισμού (ΕΕ) αριθ.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Ποσά ανοίγματος σταθμισμένα ως προς τον κίνδυνο, όπως ορίζονται στο άρθρο 92 παράγραφος 3 του κανονισμού (ΕΕ) αριθ. 575/2013, για θέσεις των οποίων οι συντελεστές στάθμισης κινδύνου εκτιμώνται με βάση τις απαιτήσεις που προβλέπονται στο τρίτο μέρος τίτλος II κεφάλαιο 3 του κανονισμού (ΕΕ) αριθ. 575/2013 και για τα οποία η αξία ανοίγματος για δραστηριότητες CCR υπολογίζεται σύμφωνα με το τρίτο μέρος τίτλος II κεφάλαια 4 και 6 του εν λόγω κανονισμού.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κανονισμού (ΕΕ) αριθ.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Πυκνότητα των σταθμισμένων ως προς τον κίνδυνο ποσών ανοίγματος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Ο λόγος των συνολικών σταθμισμένων ως προς τον κίνδυνο ποσών ανοίγματος (που αναφέρονται στη στήλη 0060) προς την αξία ανοίγματος (που αναφέρεται στη στήλη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0010 - 0170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Κλίμακα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 xml:space="preserve">Τα ανοίγματα CCR (προσδιορισμένα σε επίπεδο αντισυμβαλλόμενου) κατατάσσονται στο ενδεδειγμένο κλιμάκιο της προκαθορισμένης κλίμακας PD με βάση την PD που έχει εκτιμηθεί για κάθε οφειλέτη που έχει καταταχθεί στη συγκεκριμένη κατηγορία ανοιγμάτων (αφού ληφθεί υπόψη τυχόν υποκατάσταση λόγω ύπαρξης εγγύησης ή πιστωτικού παραγώγου). Τα ιδρύματα κατατάσσουν κάθε άνοιγμα χωριστά στην κλίμακα PD που προβλέπεται στο υπόδειγμα, λαμβάνοντας επίσης υπόψη τις συνεχείς </w:t>
            </w:r>
            <w:r>
              <w:rPr>
                <w:rFonts w:ascii="Times New Roman" w:hAnsi="Times New Roman"/>
                <w:sz w:val="24"/>
              </w:rPr>
              <w:lastRenderedPageBreak/>
              <w:t>κλίμακες. Όλα τα ανοίγματα σε αθέτηση περιλαμβάνονται στο κλιμάκιο που αντιπροσωπεύει PD 100</w:t>
            </w:r>
            <w:r>
              <w:t xml:space="preserve"> </w:t>
            </w:r>
            <w:r>
              <w:rPr>
                <w:rFonts w:ascii="Times New Roman" w:hAnsi="Times New Roman"/>
                <w:sz w:val="24"/>
              </w:rPr>
              <w:t>%.</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Σύνθεση εξασφαλίσεων για ανοίγματα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Γενικές παρατηρήσεις</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131</w:t>
      </w:r>
      <w:r>
        <w:fldChar w:fldCharType="end"/>
      </w:r>
      <w:r>
        <w:t xml:space="preserve">. Το συγκεκριμένο υπόδειγμα συμπληρώνεται με τις εύλογες αξίες των εξασφαλίσεων (παρεχόμενων ή λαμβανόμενων) που έχουν χρησιμοποιηθεί στα ανοίγματα CCR που σχετίζονται με συναλλαγές σε παράγωγα, πράξεις με μακρά προθεσμία διακανονισμού ή ΣΧΤ, είτε αυτές οι συναλλαγές εκκαθαρίζονται μέσω κεντρικού αντισυμβαλλομένου είτε όχι, και είτε έχει παρασχεθεί εξασφάλιση σε κεντρικό αντισυμβαλλόμενο είτε όχι.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Οδηγίες για συγκεκριμένες θέσεις</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Στήλες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 – 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Εξασφαλίσεις που χρησιμοποιούνται σε συναλλαγές σε παράγωγα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Τα ιδρύματα αναφέρουν τις εξασφαλίσεις (συμπεριλαμβανομένων των εξασφαλίσεων αρχικού περιθωρίου και περιθωρίου μεταβλητότητας) που χρησιμοποιούνται στα ανοίγματα CCR που σχετίζονται με οποιοδήποτε μέσο παραγώγου απαριθμείται στο παράρτημα II του κανονισμού (ΕΕ) αριθ. 575/2013 ή με συναλλαγή με μακρά προθεσμία διακανονισμού όπως ορίζεται στο άρθρο 272 σημείο 2) του ίδιου κανονισμού που δεν θεωρείται ΣΧΤ.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0090 - 0180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Εξασφαλίσεις που χρησιμοποιούνται σε ΣΧΤ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Τα ιδρύματα αναφέρουν τις εξασφαλίσεις (συμπεριλαμβανομένων των εξασφαλίσεων αρχικού περιθωρίου και περιθωρίου μεταβλητότητας καθώς και τις εξασφαλίσεις που εμφανίζονται ως τίτλοι στις ΣΧΤ) που χρησιμοποιούνται στα ανοίγματα CCR που σχετίζονται με ΣΧΤ ή με πράξη με μακρά προθεσμία διακανονισμού που δεν θεωρείται παράγωγο.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Διαχωρισμένες</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Άρθρο 300 παράγραφος 1 του κανονισμού (ΕΕ) αριθ.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Τα ιδρύματα αναφέρουν τις εξασφαλίσεις που τηρούνται κατά τρόπο απομακρυσμένο από τον κίνδυνο πτώχευσης όπως ορίζεται στο άρθρο 300 σημείο 1) του κανονισμού (ΕΕ) αριθ. 575/2013, με περαιτέρω ανάλυση σε εξασφαλίσεις που εμφανίζονται με τη μορφή αρχικού περιθωρίου ή περιθωρίου μεταβλητότητας.</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Μη διαχωρισμένες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Άρθρο 300 παράγραφος 1 του κανονισμού (ΕΕ) αριθ.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 xml:space="preserve">Τα ιδρύματα αναφέρουν τις εξασφαλίσεις που δεν τηρούνται κατά τρόπο απομακρυσμένο από τον κίνδυνο πτώχευσης όπως ορίζεται στο άρθρο 300 </w:t>
            </w:r>
            <w:r>
              <w:rPr>
                <w:rFonts w:ascii="Times New Roman" w:hAnsi="Times New Roman"/>
                <w:sz w:val="24"/>
              </w:rPr>
              <w:lastRenderedPageBreak/>
              <w:t>σημείο 1) του κανονισμού (ΕΕ) αριθ. 575/2013, με περαιτέρω ανάλυση σε αρχικό περιθώριο, περιθώριο μεταβλητότητας και τίτλο ΣΧΤ.</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lastRenderedPageBreak/>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Αρχικό περιθώριο</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Άρθρο 4 παράγραφος 1 σημείο 140) του κανονισμού (ΕΕ) αριθ.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Τα ιδρύματα αναφέρουν τις εύλογες αξίες των εξασφαλίσεων που έχουν ληφθεί ή παρασχεθεί ως αρχικό περιθώριο [όπως ορίζεται στο άρθρο 4 παράγραφος 1 σημείο 140) του κανονισμού (ΕΕ) αριθ.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Περιθώριο μεταβλητότητας</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Τα ιδρύματα αναφέρουν τις εύλογες αξίες των εξασφαλίσεων που έχουν ληφθεί ή παρασχεθεί ως περιθώριο μεταβλητότητας.</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Τίτλος ΣΧΤ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Τα ιδρύματα αναφέρουν τις εύλογες αξίες των εξασφαλίσεων που εμφανίζονται ως τίτλοι στα ΣΧΤ (π.χ. το σκέλος τίτλων των ΣΧΤ που έχουν ληφθεί για τη στήλη 0130 ή έχουν παρασχεθεί για τη στήλη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Είδος εξασφάλισης</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Ανάλυση ανά διαφορετικό είδος εξασφάλισης</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Ανοίγματα πιστωτικών παραγώγων</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Οδηγίες για συγκεκριμένες θέσεις</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Στήλες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ΠΡΟΣΤΑΣΙΑ ΠΙΣΤΩΤΙΚΩΝ ΠΑΡΑΓΩΓΩΝ</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Πωληθείσα ή αγορασθείσα προστασία πιστωτικών παραγώγων</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ΟΝΟΜΑΣΤΙΚΑ ΠΟΣΑ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Το άθροισμα των ονομαστικών ποσών των παραγώγων πριν από τυχόν συμψηφισμό, με ανάλυση ανά είδος προϊόντος</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ΕΥΛΟΓΕΣ ΑΞΙΕΣ</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Το άθροισμα των εύλογων αξιών με ανάλυση ανά αγορασθείσα προστασία και πωληθείσα προστασία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Είδος προϊόντος</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Ανάλυση των ειδών προϊόντων των πιστωτικών παραγώγων</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Σύνολο</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όλων των ειδών προϊόντων</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Εύλογες αξίες</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Οι εύλογες αξίες με ανάλυση ανά είδος προϊόντος, καθώς επίσης και τα στοιχεία ενεργητικού (θετικές εύλογες αξίες) και οι υποχρεώσεις (αρνητικές εύλογες αξίες)</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Ανοίγματα έναντι κεντρικών αντισυμβαλλομένων</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Γενικές παρατηρήσεις</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132</w:t>
      </w:r>
      <w:r>
        <w:fldChar w:fldCharType="end"/>
      </w:r>
      <w:r>
        <w:t xml:space="preserve">. Τα ιδρύματα αναφέρουν τις πληροφορίες σχετικά με τα ανοίγματα έναντι κεντρικών αντισυμβαλλομένων, δηλαδή από τις συμβάσεις και συναλλαγές του άρθρου 301 παράγραφος 1 του κανονισμού (ΕΕ) αριθ. 575/2013, για όσο διάστημα παραμένουν εκκρεμείς με κεντρικό αντισυμβαλλόμενο, και τα ανοίγματα των συναλλαγών που σχετίζονται με κεντρικό αντισυμβαλλόμενο, σύμφωνα με το άρθρο 300 σημείο 2) του εν λόγω κανονισμού, για τα οποία οι απαιτήσεις ιδίων κεφαλαίων υπολογίζονται σύμφωνα με το τρίτο μέρος τίτλος II κεφάλαιο 6 τμήμα 9 του εν λόγω κανονισμού.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Οδηγίες για συγκεκριμένες θέσεις</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Στήλες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ΑΞΙΑ ΑΝΟΙΓΜΑΤΟΣ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Η αξία ανοίγματος για συναλλαγές που εμπίπτουν στο πεδίο εφαρμογής του τρίτου μέρους τίτλος II κεφάλαιο 6 τμήμα 9 του κανονισμού (ΕΕ) αριθ. 575/2013 υπολογισμένη σύμφωνα με τις σχετικές μεθόδους που προβλέπονται στο εν λόγω κεφάλαιο και συγκεκριμένα στο τμήμα 9.</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Η αναφερόμενη αξία ανοίγματος είναι το ποσό που είναι συναφές για τον υπολογισμό των απαιτήσεων ιδίων κεφαλαίων σύμφωνα με το τρίτο μέρος τίτλος II κεφάλαιο 6 τμήμα 9 του κανονισμού (ΕΕ) αριθ. 575/2013, λαμβανομένων υπόψη των απαιτήσεων του άρθρου 497 του εν λόγω κανονισμού κατά τη μεταβατική περίοδο που προβλέπει το εν λόγω άρθρο.</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Το άνοιγμα μπορεί να είναι συναλλακτικό άνοιγμα, όπως ορίζεται στο άρθρο 4 παράγραφος 1 σημείο 91) του κανονισμού (ΕΕ) αριθ.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ΠΟΣΑ ΑΝΟΙΓΜΑΤΟΣ ΣΤΑΘΜΙΣΜΕΝΑ ΩΣ ΠΡΟΣ ΤΟΝ ΚΙΝΔΥΝΟ</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Τα σταθμισμένα ως προς τον κίνδυνο ποσά ανοίγματος προσδιορισμένα σύμφωνα με το τρίτο μέρος τίτλος II κεφάλαιο 6 τμήμα 9 του κανονισμού (ΕΕ) αριθ. 575/2013, λαμβανομένων υπόψη των απαιτήσεων του άρθρου 497 </w:t>
            </w:r>
            <w:r>
              <w:rPr>
                <w:rFonts w:ascii="Times New Roman" w:hAnsi="Times New Roman"/>
                <w:sz w:val="24"/>
              </w:rPr>
              <w:lastRenderedPageBreak/>
              <w:t>του εν λόγω κανονισμού κατά τη μεταβατική περίοδο που προβλέπει το εν λόγω άρθρο.</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Αναγνωρισμένος κεντρικός αντισυμβαλλόμενος (QCCP)</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Ο αναγνωρισμένος κεντρικός αντισυμβαλλόμενος ή “QCCP”, όπως ορίζεται στο άρθρο 4 παράγραφος 1 σημείο 88) του κανονισμού (ΕΕ) αριθ.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Αρχικό περιθώριο</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Βλέπε οδηγίες για το υπόδειγμα C 34.08.</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Για τους σκοπούς του συγκεκριμένου υποδείγματος, το αρχικό περιθώριο δεν περιλαμβάνει συνεισφορές σε κεντρικό αντισυμβαλλόμενο για ρυθμίσεις αμοιβαιοποιημένου επιμερισμού των ζημιών (δηλαδή, σε περιπτώσεις που ο κεντρικός αντισυμβαλλόμενος χρησιμοποιεί το αρχικό περιθώριο για την αμοιβαιοποίηση των ζημιών μεταξύ των εκκαθαριστικών μελών του, αντιμετωπίζεται ως άνοιγμα σε κεφάλαιο εκκαθάρισης).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Προκαταβεβλημένες συνεισφορές στο κεφάλαιο εκκαθάρισης</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άρθρα 308 και 309 του κανονισμού (ΕΕ) αριθ. 575/2013· το κεφάλαιο εκκαθάρισης, όπως ορίζεται στο άρθρο 4 παράγραφος 1 σημείο 89) του κανονισμού (ΕΕ) αριθ. 575/2013· η συνεισφορά στο κεφάλαιο εκκαθάρισης κεντρικού αντισυμβαλλομένου που καταβάλλεται από το ίδρυμα</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καταβεβλημένες συνεισφορές στο κεφάλαιο εκκαθάρισης</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άρθρα 309 και 310 του κανονισμού (ΕΕ) αριθ. 575/2013· το κεφάλαιο εκκαθάρισης, όπως ορίζεται στο άρθρο 4 παράγραφος 1 σημείο 89) του κανονισμού (ΕΕ) αριθ.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Τα ιδρύματα αναφέρουν τις συνεισφορές που ένα ίδρυμα το οποίο ενεργεί ως εκκαθαριστικό μέλος έχει δεσμευτεί συμβατικώς να παράσχει σε κεντρικό αντισυμβαλλόμενο αφότου αυτός έχει εξαντλήσει το κεφάλαιο εκκαθάρισής του για την κάλυψη ζημιών που υφίσταται λόγω αθέτησης ενός ή περισσοτέρων εκκαθαριστικών μελών του.</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Διαχωρισμένο</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Βλέπε οδηγίες για το υπόδειγμα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διαχωρισμένο</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Βλέπε οδηγίες για το υπόδειγμα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lastRenderedPageBreak/>
        <w:t>C 34.11 – Καταστάσεις ροών RWEA για ανοίγματα CCR με βάση τη μέθοδο των εσωτερικών υποδειγμάτων (IMM)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Γενικές παρατηρήσεις</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133</w:t>
      </w:r>
      <w:r>
        <w:fldChar w:fldCharType="end"/>
      </w:r>
      <w:r>
        <w:t>. Τα ιδρύματα που χρησιμοποιούν τη μέθοδο των εσωτερικών υποδειγμάτων (ΙΜΜ) για να υπολογίσουν τα σταθμισμένα ως προς τον κίνδυνο ποσά ανοίγματος για το σύνολο ή μέρος των ανοιγμάτων CCR σύμφωνα με το τρίτο μέρος τίτλος II κεφάλαιο 6 του κανονισμού (ΕΕ) αριθ. 575/2013, ανεξάρτητα από την προσέγγιση πιστωτικού κινδύνου που χρησιμοποιείται για τον προσδιορισμό των αντίστοιχων συντελεστών στάθμισης κινδύνου, υποβάλλουν το παρόν υπόδειγμα μαζί με την κατάσταση ροών που επεξηγεί τις μεταβολές στα σταθμισμένα ως προς τον κίνδυνο ποσά ανοίγματος των παραγώγων και των ΣΧΤ που εμπίπτουν στο πεδίο εφαρμογής της ΙΜΜ, διαφοροποιημένες ανά βασικούς παράγοντες και με βάση εύλογες εκτιμήσεις.</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134</w:t>
      </w:r>
      <w:r>
        <w:fldChar w:fldCharType="end"/>
      </w:r>
      <w:r>
        <w:t xml:space="preserve">. Τα ιδρύματα που υποβάλλουν το παρόν υπόδειγμα σε τριμηνιαία βάση συμπληρώνουν μόνο τη στήλη 0010. Τα ιδρύματα που υποβάλλουν το παρόν υπόδειγμα σε ετήσια βάση συμπληρώνουν μόνο τη στήλη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135</w:t>
      </w:r>
      <w:r>
        <w:fldChar w:fldCharType="end"/>
      </w:r>
      <w:r>
        <w:t>. Τα σταθμισμένα ως προς τον κίνδυνο ποσά ανοίγματος για ανοίγματα έναντι κεντρικού αντισυμβαλλομένου εξαιρούνται από το παρόν υπόδειγμα [τρίτο μέρος τίτλος II κεφάλαιο 6 τμήμα 9 του κανονισμού (ΕΕ) αριθ.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Οδηγίες για συγκεκριμένες θέσεις</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Στήλες</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ΠΟΣΑ ΑΝΟΙΓΜΑΤΟΣ ΣΤΑΘΜΙΣΜΕΝΑ ΩΣ ΠΡΟΣ ΤΟΝ ΚΙΝΔΥΝΟ</w:t>
            </w:r>
          </w:p>
          <w:p w14:paraId="0630F3A5" w14:textId="03B5FB80" w:rsidR="00EF74C7" w:rsidRPr="002A677E" w:rsidRDefault="00EF74C7" w:rsidP="00822842">
            <w:pPr>
              <w:rPr>
                <w:rFonts w:ascii="Times New Roman" w:hAnsi="Times New Roman"/>
                <w:sz w:val="24"/>
              </w:rPr>
            </w:pPr>
            <w:r>
              <w:rPr>
                <w:rFonts w:ascii="Times New Roman" w:hAnsi="Times New Roman"/>
                <w:sz w:val="24"/>
              </w:rPr>
              <w:t xml:space="preserve">Ποσά ανοίγματος σταθμισμένα ως προς τον κίνδυνο, όπως ορίζονται στο άρθρο 92 παράγραφος 3 του κανονισμού (ΕΕ) αριθ. 575/2013, για θέσεις των οποίων οι συντελεστές στάθμισης κινδύνου εκτιμώνται με βάση τις απαιτήσεις που προβλέπονται στο τρίτο μέρος τίτλος II κεφάλαια 2 και 3 του εν λόγω κανονισμού και για τις οποίες το ίδρυμα επιτρέπεται να προσδιορίσει την αξία ανοίγματος χρησιμοποιώντας τη μέθοδο των εσωτερικών υποδειγμάτων (IMM) σύμφωνα με το τρίτο μέρος τίτλος II κεφάλαιο 6 τμήμα 6 του εν λόγω κανονισμού.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Λαμβάνονται υπόψη οι συντελεστές στήριξης των ΜΜΕ και των υποδομών σύμφωνα με τα άρθρα 501 και 501α του κανονισμού (ΕΕ) αριθ.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Γραμμές</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 στο τέλος της προηγούμενης περιόδου αναφοράς</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Ποσά ανοίγματος σταθμισμένα ως προς τον κίνδυνο για ανοίγματα CCR με βάση την IMM στο τέλος της προηγούμενης περιόδου αναφοράς</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Μέγεθος στοιχείων ενεργητικού</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στο μέγεθος και στη σύνθεση του χαρτοφυλακίου που προκύπτουν από τη συνήθη επιχειρηματική δραστηριότητα (συμπεριλαμβανομένης της δημιουργίας νέων δραστηριοτήτων και των ληξιπρόθεσμων ανοιγμάτων), εκτός από μεταβολές στο μέγεθος του χαρτοφυλακίου που οφείλονται σε εξαγορές και εκχωρήσεις οντοτήτων</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Πιστωτική ποιότητα αντισυμβαλλομένων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στην εκτιμώμενη ποιότητα των αντισυμβαλλομένων του ιδρύματος όπως επιμετράται με βάση το πλαίσιο πιστωτικού κινδύνου, οποιαδήποτε προσέγγιση και αν χρησιμοποιεί το ίδρυμα. Σε αυτήν τη γραμμή συμπεριλαμβάνονται επίσης μεταβολές στο σταθμισμένο ως προς τον κίνδυνο ποσό ανοίγματος που οφείλονται σε υποδείγματα IRB όταν το ίδρυμα χρησιμοποιεί προσέγγιση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Επικαιροποιήσεις υποδειγμάτων (μόνο ΙΜΜ)</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στην υλοποίηση υποδειγμάτων, μεταβολές στο πεδίο εφαρμογής του υποδείγματος ή άλλες μεταβολές που επιδιώκουν να αντιμετωπίσουν αδυναμίες του υποδείγματος.</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Η συγκεκριμένη γραμμή αφορά μόνο μεταβολές στο υπόδειγμα ΙΜΜ.</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Μεθοδολογία και πολιτική (μόνο ΙΜΜ)</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στη μεθοδολογία των υπολογισμών οι οποίες προκύπτουν από μεταβολές των κανονιστικών πολιτικών, όπως νέοι κανονισμοί (μόνο στο υπόδειγμα ΙΜΜ)</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Εξαγορές και εκχωρήσεις</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στο μέγεθος του χαρτοφυλακίου λόγω εξαγορών και εκχωρήσεων οντοτήτων</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Συναλλαγματικές διακυμάνσεις</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Μεταβολές (θετικές ή αρνητικές) στο σταθμισμένο ως προς τον κίνδυνο ποσό ανοίγματος που οφείλονται σε μεταβολές οι οποίες προκύπτουν από τις διακυμάνσεις κατά τη μετατροπή συναλλάγματος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Άλλα</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Η κατηγορία αυτή χρησιμοποιείται για να αποτυπωθούν μεταβολές (θετικές ή αρνητικές) στο σταθμισμένο ως προς τον κίνδυνο ποσό ανοίγματος που δεν μπορούν να αποδοθούν στις προηγούμενες κατηγορίες.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 στο τέλος της τρέχουσας περιόδου αναφοράς</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Ποσά ανοίγματος σταθμισμένα ως προς τον κίνδυνο για ανοίγματα CCR με βάση την IMM στο τέλος της τρέχουσας περιόδου αναφοράς</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561E12EB" w:rsidR="00E26A90" w:rsidRPr="00E26A90" w:rsidRDefault="00651079"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561E12EB" w:rsidR="00E26A90" w:rsidRPr="00E26A90" w:rsidRDefault="00651079"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651079"/>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el-GR"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el-GR"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el-GR"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el-GR"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el-GR"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el-GR"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el-GR"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el-GR"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el-GR"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el-GR"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el-GR"/>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05AC40-9713-4723-8BE0-267E6DB0EA90}"/>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7</TotalTime>
  <Pages>29</Pages>
  <Words>9045</Words>
  <Characters>48667</Characters>
  <Application>Microsoft Office Word</Application>
  <DocSecurity>0</DocSecurity>
  <Lines>1280</Lines>
  <Paragraphs>836</Paragraphs>
  <ScaleCrop>false</ScaleCrop>
  <Company>European Banking Authority</Company>
  <LinksUpToDate>false</LinksUpToDate>
  <CharactersWithSpaces>56876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SPANOU Marina (DGT)</cp:lastModifiedBy>
  <cp:revision>5</cp:revision>
  <dcterms:created xsi:type="dcterms:W3CDTF">2024-06-19T16:03:00Z</dcterms:created>
  <dcterms:modified xsi:type="dcterms:W3CDTF">2025-01-13T14:03:00Z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2025-01-13T14:03:04Z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548fa4c4-47c4-4c4e-9ad8-8ebb6f6a5aed</vt:lpwstr>
  </property>
  <property fmtid="{D5CDD505-2E9C-101B-9397-08002B2CF9AE}" pid="12" name="MSIP_Label_6bd9ddd1-4d20-43f6-abfa-fc3c07406f94_ContentBits">
    <vt:lpwstr>0</vt:lpwstr>
  </property>
</Properties>
</file>